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CAE1" w14:textId="619B44F5" w:rsidR="00113A54" w:rsidRPr="007D59C9" w:rsidRDefault="00113A54" w:rsidP="00342FB0">
      <w:pPr>
        <w:pStyle w:val="ListParagraph"/>
        <w:numPr>
          <w:ilvl w:val="0"/>
          <w:numId w:val="6"/>
        </w:numPr>
        <w:jc w:val="both"/>
        <w:rPr>
          <w:rFonts w:ascii="Times New Roman" w:hAnsi="Times New Roman"/>
          <w:b/>
          <w:sz w:val="18"/>
          <w:szCs w:val="18"/>
        </w:rPr>
      </w:pPr>
      <w:r>
        <w:rPr>
          <w:rFonts w:ascii="Times New Roman" w:hAnsi="Times New Roman"/>
          <w:b/>
          <w:color w:val="0000FF"/>
          <w:sz w:val="18"/>
        </w:rPr>
        <w:t>Šis dokumentas yra bazinis šablonas, pagal kurį turėtų būti rengiamos dotacijų sutartys su vienu gavėju, sudaromos nacionalinės agentūros (toliau – NA) ir dotacijos gavėjo dėl projekto pagal Europos solidarumo korpuso programą, kai dotacijos gavėjas yra viena organizacija. Europos solidarumo korpuso veiklos sritys, kurioms skirtas šis šablonas, yra:</w:t>
      </w:r>
    </w:p>
    <w:p w14:paraId="06143AF0" w14:textId="2B4635C6" w:rsidR="00CB356B" w:rsidRPr="00415875" w:rsidRDefault="00CB356B" w:rsidP="006236C7">
      <w:pPr>
        <w:pStyle w:val="ListParagraph"/>
        <w:spacing w:after="0" w:line="240" w:lineRule="auto"/>
        <w:ind w:left="1440"/>
        <w:jc w:val="both"/>
        <w:rPr>
          <w:rFonts w:ascii="Times New Roman" w:hAnsi="Times New Roman"/>
          <w:b/>
          <w:bCs/>
          <w:color w:val="0000FF"/>
          <w:sz w:val="18"/>
          <w:szCs w:val="18"/>
        </w:rPr>
      </w:pPr>
      <w:r>
        <w:tab/>
      </w:r>
      <w:r>
        <w:rPr>
          <w:rFonts w:ascii="Times New Roman" w:hAnsi="Times New Roman"/>
          <w:b/>
          <w:color w:val="0000FF"/>
          <w:sz w:val="18"/>
        </w:rPr>
        <w:t>savanoriškos veiklos projektai;</w:t>
      </w:r>
    </w:p>
    <w:p w14:paraId="3075CF6A" w14:textId="2381E5C5" w:rsidR="00CB356B" w:rsidRPr="00415875" w:rsidRDefault="00CB356B" w:rsidP="006236C7">
      <w:pPr>
        <w:pStyle w:val="ListParagraph"/>
        <w:spacing w:after="0" w:line="240" w:lineRule="auto"/>
        <w:ind w:left="1440"/>
        <w:jc w:val="both"/>
        <w:rPr>
          <w:rFonts w:ascii="Times New Roman" w:hAnsi="Times New Roman"/>
          <w:b/>
          <w:bCs/>
          <w:color w:val="0000FF"/>
          <w:sz w:val="18"/>
          <w:szCs w:val="18"/>
        </w:rPr>
      </w:pPr>
      <w:r>
        <w:tab/>
      </w:r>
      <w:r>
        <w:rPr>
          <w:rFonts w:ascii="Times New Roman" w:hAnsi="Times New Roman"/>
          <w:b/>
          <w:color w:val="0000FF"/>
          <w:sz w:val="18"/>
        </w:rPr>
        <w:t>solidarumo projektai.</w:t>
      </w:r>
    </w:p>
    <w:p w14:paraId="6F99647B" w14:textId="77777777" w:rsidR="003F7876" w:rsidRPr="003C6F4D" w:rsidRDefault="003F7876" w:rsidP="003F7876">
      <w:pPr>
        <w:pStyle w:val="ListParagraph"/>
        <w:spacing w:after="0" w:line="240" w:lineRule="auto"/>
        <w:ind w:left="1440"/>
        <w:jc w:val="both"/>
        <w:rPr>
          <w:rFonts w:ascii="Times New Roman" w:hAnsi="Times New Roman"/>
          <w:b/>
          <w:bCs/>
          <w:color w:val="0000FF"/>
          <w:sz w:val="18"/>
          <w:szCs w:val="18"/>
          <w:lang w:val="de-DE"/>
        </w:rPr>
      </w:pPr>
    </w:p>
    <w:p w14:paraId="60E4CAE5" w14:textId="77777777" w:rsidR="00113A54" w:rsidRPr="007D59C9" w:rsidRDefault="00113A54" w:rsidP="00342FB0">
      <w:pPr>
        <w:pStyle w:val="ListParagraph"/>
        <w:numPr>
          <w:ilvl w:val="0"/>
          <w:numId w:val="6"/>
        </w:numPr>
        <w:jc w:val="both"/>
        <w:rPr>
          <w:rFonts w:ascii="Times New Roman" w:hAnsi="Times New Roman"/>
          <w:b/>
          <w:sz w:val="18"/>
          <w:szCs w:val="18"/>
        </w:rPr>
      </w:pPr>
      <w:r>
        <w:rPr>
          <w:rFonts w:ascii="Times New Roman" w:hAnsi="Times New Roman"/>
          <w:b/>
          <w:color w:val="0000FF"/>
          <w:sz w:val="18"/>
        </w:rPr>
        <w:t xml:space="preserve">Išnašose pateikti vidaus nurodymai yra skirti tik NA ir faktinėje dotacijos sutartyje bus ištrinti. </w:t>
      </w:r>
    </w:p>
    <w:p w14:paraId="60E4CAE6" w14:textId="77777777" w:rsidR="00113A54" w:rsidRPr="007D59C9" w:rsidRDefault="00113A54" w:rsidP="00342FB0">
      <w:pPr>
        <w:pStyle w:val="ListParagraph"/>
        <w:numPr>
          <w:ilvl w:val="0"/>
          <w:numId w:val="6"/>
        </w:numPr>
        <w:jc w:val="both"/>
        <w:rPr>
          <w:rFonts w:ascii="Times New Roman" w:hAnsi="Times New Roman"/>
          <w:b/>
          <w:sz w:val="18"/>
          <w:szCs w:val="18"/>
        </w:rPr>
      </w:pPr>
      <w:r>
        <w:rPr>
          <w:rFonts w:ascii="Times New Roman" w:hAnsi="Times New Roman"/>
          <w:b/>
          <w:color w:val="0000FF"/>
          <w:sz w:val="18"/>
        </w:rPr>
        <w:t>Nepasirinktus variantus [</w:t>
      </w:r>
      <w:r>
        <w:rPr>
          <w:rFonts w:ascii="Times New Roman" w:hAnsi="Times New Roman"/>
          <w:b/>
          <w:i/>
          <w:color w:val="0000FF"/>
          <w:sz w:val="18"/>
        </w:rPr>
        <w:t>išskirtus kursyvu laužtiniuose skliaustuose</w:t>
      </w:r>
      <w:r>
        <w:rPr>
          <w:rFonts w:ascii="Times New Roman" w:hAnsi="Times New Roman"/>
          <w:b/>
          <w:color w:val="0000FF"/>
          <w:sz w:val="18"/>
        </w:rPr>
        <w:t>] ištrins nacionalinės agentūros.</w:t>
      </w:r>
    </w:p>
    <w:p w14:paraId="60E4CAE7" w14:textId="77777777" w:rsidR="00113A54" w:rsidRPr="007D59C9" w:rsidRDefault="00113A54" w:rsidP="00342FB0">
      <w:pPr>
        <w:pStyle w:val="ListParagraph"/>
        <w:numPr>
          <w:ilvl w:val="0"/>
          <w:numId w:val="6"/>
        </w:numPr>
        <w:jc w:val="both"/>
        <w:rPr>
          <w:rFonts w:ascii="Times New Roman" w:hAnsi="Times New Roman"/>
          <w:b/>
          <w:sz w:val="18"/>
          <w:szCs w:val="18"/>
        </w:rPr>
      </w:pPr>
      <w:r>
        <w:rPr>
          <w:rFonts w:ascii="Times New Roman" w:hAnsi="Times New Roman"/>
          <w:b/>
          <w:color w:val="0000FF"/>
          <w:sz w:val="18"/>
        </w:rPr>
        <w:t xml:space="preserve">Standartinės sutarties datą, nurodytą puslapinėje antraštėje, būtina palikti visame dokumente. </w:t>
      </w:r>
    </w:p>
    <w:p w14:paraId="60E4CAE8" w14:textId="77777777" w:rsidR="00113A54" w:rsidRPr="00510C97" w:rsidRDefault="00113A54" w:rsidP="00113A54">
      <w:pPr>
        <w:rPr>
          <w:rFonts w:ascii="Times New Roman" w:hAnsi="Times New Roman"/>
          <w:b/>
          <w:color w:val="0000FF"/>
          <w:sz w:val="16"/>
          <w:szCs w:val="16"/>
        </w:rPr>
      </w:pPr>
      <w:r>
        <w:rPr>
          <w:rFonts w:ascii="Times New Roman" w:hAnsi="Times New Roman"/>
          <w:b/>
          <w:color w:val="0000FF"/>
          <w:sz w:val="16"/>
        </w:rPr>
        <w:t xml:space="preserve"> </w:t>
      </w:r>
    </w:p>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342FB0" w:rsidRDefault="00113A54">
      <w:pPr>
        <w:jc w:val="center"/>
      </w:pPr>
      <w:r>
        <w:rPr>
          <w:rFonts w:ascii="Times New Roman" w:hAnsi="Times New Roman"/>
          <w:b/>
          <w:sz w:val="24"/>
        </w:rPr>
        <w:t>DOTACIJOS SUTARTIS dėl</w:t>
      </w:r>
    </w:p>
    <w:p w14:paraId="60E4CAEB" w14:textId="13376FB2" w:rsidR="00113A54" w:rsidRPr="00342FB0" w:rsidRDefault="00113A54">
      <w:pPr>
        <w:jc w:val="center"/>
      </w:pPr>
      <w:r>
        <w:rPr>
          <w:rFonts w:ascii="Times New Roman" w:hAnsi="Times New Roman"/>
          <w:b/>
          <w:sz w:val="24"/>
        </w:rPr>
        <w:t>vieno gavėjo vykdomo projekto pagal EUROPOS SOLIDARUMO KORPUSO PROGRAMĄ</w:t>
      </w:r>
      <w:r>
        <w:rPr>
          <w:rStyle w:val="Voetnoottekens"/>
          <w:rFonts w:ascii="Times New Roman" w:hAnsi="Times New Roman"/>
          <w:b/>
          <w:bCs/>
          <w:sz w:val="24"/>
          <w:szCs w:val="24"/>
        </w:rPr>
        <w:footnoteReference w:id="2"/>
      </w:r>
      <w:r>
        <w:rPr>
          <w:rFonts w:ascii="Times New Roman" w:hAnsi="Times New Roman"/>
          <w:b/>
          <w:sz w:val="24"/>
        </w:rPr>
        <w:t xml:space="preserve"> </w:t>
      </w:r>
    </w:p>
    <w:p w14:paraId="60E4CAEC" w14:textId="50C4B922" w:rsidR="00113A54" w:rsidRPr="00342FB0" w:rsidRDefault="00113A54">
      <w:pPr>
        <w:jc w:val="center"/>
      </w:pPr>
      <w:r>
        <w:rPr>
          <w:rFonts w:ascii="Times New Roman" w:hAnsi="Times New Roman"/>
          <w:b/>
          <w:sz w:val="24"/>
        </w:rPr>
        <w:t>SUTARTIES NUMERIS – [</w:t>
      </w:r>
      <w:r>
        <w:rPr>
          <w:rFonts w:ascii="Times New Roman" w:hAnsi="Times New Roman"/>
          <w:b/>
          <w:sz w:val="24"/>
          <w:highlight w:val="lightGray"/>
        </w:rPr>
        <w:t>PMM sugeneruotas numeris</w:t>
      </w:r>
      <w:r>
        <w:rPr>
          <w:rFonts w:ascii="Times New Roman" w:hAnsi="Times New Roman"/>
          <w:b/>
          <w:sz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Pr>
          <w:rFonts w:ascii="Times New Roman" w:hAnsi="Times New Roman"/>
          <w:sz w:val="24"/>
        </w:rPr>
        <w:t>Šią sutartį (toliau – Sutartis) sudaro šios šalys:</w:t>
      </w:r>
    </w:p>
    <w:p w14:paraId="60E4CAEF" w14:textId="77777777" w:rsidR="00113A54" w:rsidRPr="00480642" w:rsidRDefault="00113A54" w:rsidP="00113A54">
      <w:pPr>
        <w:jc w:val="both"/>
        <w:rPr>
          <w:rFonts w:ascii="Times New Roman" w:hAnsi="Times New Roman"/>
          <w:sz w:val="24"/>
          <w:szCs w:val="24"/>
        </w:rPr>
      </w:pPr>
      <w:r>
        <w:rPr>
          <w:rFonts w:ascii="Times New Roman" w:hAnsi="Times New Roman"/>
          <w:sz w:val="24"/>
        </w:rPr>
        <w:t>viena šalis –</w:t>
      </w:r>
    </w:p>
    <w:p w14:paraId="434C8A96" w14:textId="6A42334B" w:rsidR="00F20273" w:rsidRDefault="00F20273" w:rsidP="00113A54">
      <w:pPr>
        <w:spacing w:after="0" w:line="240" w:lineRule="auto"/>
        <w:rPr>
          <w:rFonts w:ascii="Times New Roman" w:hAnsi="Times New Roman"/>
          <w:sz w:val="24"/>
          <w:szCs w:val="24"/>
        </w:rPr>
      </w:pPr>
      <w:r>
        <w:rPr>
          <w:rFonts w:ascii="Times New Roman" w:hAnsi="Times New Roman"/>
          <w:b/>
          <w:sz w:val="24"/>
        </w:rPr>
        <w:t>nacionalinė agentūra</w:t>
      </w:r>
      <w:r>
        <w:rPr>
          <w:rFonts w:ascii="Times New Roman" w:hAnsi="Times New Roman"/>
          <w:sz w:val="24"/>
        </w:rPr>
        <w:t xml:space="preserve"> (toliau – NA)</w:t>
      </w:r>
    </w:p>
    <w:p w14:paraId="251B8D15" w14:textId="77777777" w:rsidR="00F20273" w:rsidRDefault="00F20273" w:rsidP="00113A54">
      <w:pPr>
        <w:spacing w:after="0" w:line="240" w:lineRule="auto"/>
        <w:rPr>
          <w:rFonts w:ascii="Times New Roman" w:hAnsi="Times New Roman"/>
          <w:sz w:val="24"/>
          <w:szCs w:val="24"/>
        </w:rPr>
      </w:pPr>
    </w:p>
    <w:p w14:paraId="60E4CAF0" w14:textId="3C6FB911"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[visas NA oficialus pavadinimas] </w:t>
      </w:r>
    </w:p>
    <w:p w14:paraId="60E4CAF1"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[oficiali teisinė forma]</w:t>
      </w:r>
    </w:p>
    <w:p w14:paraId="60E4CAF2"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[teisinės registracijos numeris]</w:t>
      </w:r>
    </w:p>
    <w:p w14:paraId="60E4CAF3"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[visas oficialus adresas]</w:t>
      </w:r>
    </w:p>
    <w:p w14:paraId="60E4CAF4" w14:textId="1980FB7B" w:rsidR="00113A54" w:rsidRPr="00480642" w:rsidRDefault="00113A54" w:rsidP="00113A54">
      <w:pPr>
        <w:jc w:val="both"/>
        <w:rPr>
          <w:rFonts w:ascii="Times New Roman" w:hAnsi="Times New Roman"/>
          <w:sz w:val="24"/>
          <w:szCs w:val="24"/>
        </w:rPr>
      </w:pPr>
      <w:r>
        <w:rPr>
          <w:rFonts w:ascii="Times New Roman" w:hAnsi="Times New Roman"/>
          <w:sz w:val="24"/>
          <w:shd w:val="clear" w:color="auto" w:fill="C0C0C0"/>
        </w:rPr>
        <w:t>[PVM mokėtojo kodas],</w:t>
      </w:r>
    </w:p>
    <w:p w14:paraId="60E4CAF5" w14:textId="027CB34F" w:rsidR="00113A54" w:rsidRPr="00480642" w:rsidRDefault="00721DC1" w:rsidP="00113A54">
      <w:pPr>
        <w:jc w:val="both"/>
        <w:rPr>
          <w:rFonts w:ascii="Times New Roman" w:hAnsi="Times New Roman"/>
          <w:sz w:val="24"/>
          <w:szCs w:val="24"/>
        </w:rPr>
      </w:pPr>
      <w:r>
        <w:rPr>
          <w:rFonts w:ascii="Times New Roman" w:hAnsi="Times New Roman"/>
        </w:rPr>
        <w:t>kuriam, pasirašant šią sutartį, tinkamai atstovauja [</w:t>
      </w:r>
      <w:r>
        <w:rPr>
          <w:rFonts w:ascii="Times New Roman" w:hAnsi="Times New Roman"/>
          <w:shd w:val="clear" w:color="auto" w:fill="C0C0C0"/>
        </w:rPr>
        <w:t>vardas, pavardė, pareigos</w:t>
      </w:r>
      <w:r>
        <w:rPr>
          <w:rFonts w:ascii="Times New Roman" w:hAnsi="Times New Roman"/>
        </w:rPr>
        <w:t xml:space="preserve">], </w:t>
      </w:r>
    </w:p>
    <w:p w14:paraId="60E4CAF6" w14:textId="77777777" w:rsidR="00113A54" w:rsidRPr="00342FB0" w:rsidRDefault="00113A54">
      <w:r>
        <w:rPr>
          <w:rFonts w:ascii="Times New Roman" w:hAnsi="Times New Roman"/>
          <w:b/>
          <w:sz w:val="24"/>
        </w:rPr>
        <w:t>ir</w:t>
      </w:r>
    </w:p>
    <w:p w14:paraId="60E4CAF7" w14:textId="77777777" w:rsidR="00113A54" w:rsidRPr="00480642" w:rsidRDefault="00113A54" w:rsidP="00113A54">
      <w:pPr>
        <w:jc w:val="both"/>
        <w:rPr>
          <w:rFonts w:ascii="Times New Roman" w:hAnsi="Times New Roman"/>
          <w:sz w:val="24"/>
          <w:szCs w:val="24"/>
        </w:rPr>
      </w:pPr>
      <w:r>
        <w:rPr>
          <w:rFonts w:ascii="Times New Roman" w:hAnsi="Times New Roman"/>
          <w:sz w:val="24"/>
        </w:rPr>
        <w:t xml:space="preserve">kita šalis – </w:t>
      </w:r>
    </w:p>
    <w:p w14:paraId="60E4CAF8" w14:textId="0CE99F7A" w:rsidR="00113A54" w:rsidRPr="00480642" w:rsidRDefault="00113A54" w:rsidP="00113A54">
      <w:pPr>
        <w:jc w:val="both"/>
        <w:rPr>
          <w:rFonts w:ascii="Times New Roman" w:hAnsi="Times New Roman"/>
          <w:sz w:val="24"/>
          <w:szCs w:val="24"/>
        </w:rPr>
      </w:pPr>
      <w:r>
        <w:rPr>
          <w:rFonts w:ascii="Times New Roman" w:hAnsi="Times New Roman"/>
          <w:b/>
          <w:sz w:val="24"/>
        </w:rPr>
        <w:t>dotacijos gavėjas</w:t>
      </w:r>
      <w:r>
        <w:rPr>
          <w:rFonts w:ascii="Times New Roman" w:hAnsi="Times New Roman"/>
          <w:sz w:val="24"/>
        </w:rPr>
        <w:t xml:space="preserve"> (toliau – gavėjas)</w:t>
      </w:r>
    </w:p>
    <w:p w14:paraId="60E4CAF9"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lastRenderedPageBreak/>
        <w:t>[visas gavėjo oficialus pavadinimas]</w:t>
      </w:r>
    </w:p>
    <w:p w14:paraId="60E4CAFA"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[oficiali teisinė forma] </w:t>
      </w:r>
      <w:r>
        <w:rPr>
          <w:rFonts w:ascii="Times New Roman" w:hAnsi="Times New Roman"/>
          <w:i/>
          <w:sz w:val="24"/>
          <w:shd w:val="clear" w:color="auto" w:fill="C0C0C0"/>
        </w:rPr>
        <w:t>[jei taikoma]</w:t>
      </w:r>
    </w:p>
    <w:p w14:paraId="60E4CAFB" w14:textId="77777777" w:rsidR="00113A54" w:rsidRPr="00342FB0" w:rsidRDefault="00113A54" w:rsidP="00342FB0">
      <w:r>
        <w:rPr>
          <w:rFonts w:ascii="Times New Roman" w:hAnsi="Times New Roman"/>
          <w:sz w:val="24"/>
          <w:shd w:val="clear" w:color="auto" w:fill="C0C0C0"/>
        </w:rPr>
        <w:t xml:space="preserve">[oficialus registracijos numeris] </w:t>
      </w:r>
      <w:r>
        <w:rPr>
          <w:rFonts w:ascii="Times New Roman" w:hAnsi="Times New Roman"/>
          <w:i/>
          <w:sz w:val="24"/>
          <w:shd w:val="clear" w:color="auto" w:fill="C0C0C0"/>
        </w:rPr>
        <w:t>[jei taikoma]</w:t>
      </w:r>
    </w:p>
    <w:p w14:paraId="60E4CAFC"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[visas oficialus adresas]</w:t>
      </w:r>
    </w:p>
    <w:p w14:paraId="60E4CAFD" w14:textId="77777777" w:rsidR="00113A54" w:rsidRPr="00480642" w:rsidRDefault="00113A54" w:rsidP="00113A54">
      <w:pPr>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[PVM mokėtojo kodas] </w:t>
      </w:r>
      <w:r>
        <w:rPr>
          <w:rFonts w:ascii="Times New Roman" w:hAnsi="Times New Roman"/>
          <w:i/>
          <w:sz w:val="24"/>
          <w:shd w:val="clear" w:color="auto" w:fill="C0C0C0"/>
        </w:rPr>
        <w:t>[jei taikoma]</w:t>
      </w:r>
    </w:p>
    <w:p w14:paraId="60E4CAFE" w14:textId="6CB0C6D4" w:rsidR="00113A54" w:rsidRPr="00480642" w:rsidRDefault="001C43DA" w:rsidP="00113A54">
      <w:pPr>
        <w:rPr>
          <w:rFonts w:ascii="Times New Roman" w:eastAsia="Times New Roman" w:hAnsi="Times New Roman"/>
          <w:sz w:val="24"/>
          <w:szCs w:val="24"/>
          <w:shd w:val="clear" w:color="auto" w:fill="C0C0C0"/>
        </w:rPr>
      </w:pPr>
      <w:r>
        <w:rPr>
          <w:rFonts w:ascii="Times New Roman" w:hAnsi="Times New Roman"/>
          <w:sz w:val="24"/>
          <w:shd w:val="clear" w:color="auto" w:fill="C0C0C0"/>
        </w:rPr>
        <w:t>[OID numeris]</w:t>
      </w:r>
    </w:p>
    <w:p w14:paraId="033CE3D2" w14:textId="77777777" w:rsidR="00AF5791" w:rsidRPr="00395E0B" w:rsidRDefault="00113A54" w:rsidP="00AF5791">
      <w:pPr>
        <w:suppressAutoHyphens w:val="0"/>
        <w:spacing w:after="0" w:line="240" w:lineRule="auto"/>
        <w:jc w:val="both"/>
        <w:rPr>
          <w:rFonts w:ascii="Times New Roman" w:eastAsia="Times New Roman" w:hAnsi="Times New Roman"/>
          <w:smallCaps/>
          <w:snapToGrid w:val="0"/>
          <w:sz w:val="24"/>
          <w:szCs w:val="24"/>
        </w:rPr>
      </w:pPr>
      <w:r>
        <w:t xml:space="preserve"> </w:t>
      </w:r>
      <w:r>
        <w:br/>
      </w:r>
    </w:p>
    <w:p w14:paraId="00E70178" w14:textId="1DC1589C" w:rsidR="00AF5791" w:rsidRPr="006236C7" w:rsidRDefault="00AF5791" w:rsidP="00AF5791">
      <w:pPr>
        <w:suppressAutoHyphens w:val="0"/>
        <w:spacing w:after="0" w:line="240" w:lineRule="auto"/>
        <w:jc w:val="both"/>
        <w:rPr>
          <w:rFonts w:ascii="Times New Roman" w:eastAsia="Times New Roman" w:hAnsi="Times New Roman"/>
          <w:snapToGrid w:val="0"/>
          <w:sz w:val="24"/>
          <w:szCs w:val="24"/>
        </w:rPr>
      </w:pPr>
      <w:r>
        <w:rPr>
          <w:rFonts w:ascii="Times New Roman" w:hAnsi="Times New Roman"/>
          <w:smallCaps/>
          <w:snapToGrid w:val="0"/>
          <w:sz w:val="24"/>
        </w:rPr>
        <w:t>[</w:t>
      </w:r>
      <w:r>
        <w:rPr>
          <w:rFonts w:ascii="Times New Roman" w:hAnsi="Times New Roman"/>
          <w:i/>
          <w:iCs/>
          <w:smallCaps/>
          <w:snapToGrid w:val="0"/>
          <w:sz w:val="24"/>
          <w:highlight w:val="cyan"/>
        </w:rPr>
        <w:t>Savanoriškos veiklos projektų atveju</w:t>
      </w:r>
      <w:r>
        <w:rPr>
          <w:rFonts w:ascii="Times New Roman" w:hAnsi="Times New Roman"/>
          <w:smallCaps/>
          <w:snapToGrid w:val="0"/>
          <w:sz w:val="24"/>
          <w:highlight w:val="cyan"/>
        </w:rPr>
        <w:t>:</w:t>
      </w:r>
    </w:p>
    <w:p w14:paraId="16A590CC" w14:textId="33BBD8A7" w:rsidR="00496A84" w:rsidRDefault="00AF5791" w:rsidP="00AF5791">
      <w:pPr>
        <w:suppressAutoHyphens w:val="0"/>
        <w:spacing w:after="0" w:line="240" w:lineRule="auto"/>
        <w:rPr>
          <w:rFonts w:ascii="Times New Roman" w:eastAsia="Times New Roman" w:hAnsi="Times New Roman"/>
          <w:snapToGrid w:val="0"/>
          <w:sz w:val="24"/>
          <w:szCs w:val="24"/>
        </w:rPr>
      </w:pPr>
      <w:r>
        <w:rPr>
          <w:rFonts w:ascii="Times New Roman" w:hAnsi="Times New Roman"/>
          <w:snapToGrid w:val="0"/>
          <w:sz w:val="24"/>
        </w:rPr>
        <w:t xml:space="preserve">Kokybės ženklo kodas [Kokybės ženklo </w:t>
      </w:r>
      <w:r>
        <w:rPr>
          <w:rFonts w:ascii="Times New Roman" w:hAnsi="Times New Roman"/>
          <w:snapToGrid w:val="0"/>
          <w:sz w:val="24"/>
          <w:highlight w:val="lightGray"/>
        </w:rPr>
        <w:t>nuorodos numeris</w:t>
      </w:r>
      <w:r>
        <w:rPr>
          <w:rFonts w:ascii="Times New Roman" w:hAnsi="Times New Roman"/>
          <w:snapToGrid w:val="0"/>
          <w:sz w:val="24"/>
        </w:rPr>
        <w:t>]</w:t>
      </w:r>
      <w:r>
        <w:rPr>
          <w:rFonts w:ascii="Times New Roman" w:hAnsi="Times New Roman"/>
          <w:snapToGrid w:val="0"/>
          <w:sz w:val="24"/>
          <w:highlight w:val="cyan"/>
        </w:rPr>
        <w:t>]</w:t>
      </w:r>
    </w:p>
    <w:p w14:paraId="034BE037" w14:textId="615F2CF5" w:rsidR="00AF5791" w:rsidRDefault="00AF5791" w:rsidP="00AF5791">
      <w:pPr>
        <w:suppressAutoHyphens w:val="0"/>
        <w:spacing w:after="0" w:line="240" w:lineRule="auto"/>
        <w:rPr>
          <w:rFonts w:ascii="Times New Roman" w:hAnsi="Times New Roman"/>
          <w:sz w:val="24"/>
          <w:szCs w:val="24"/>
        </w:rPr>
      </w:pPr>
    </w:p>
    <w:p w14:paraId="10E55C79" w14:textId="77777777" w:rsidR="00AF5791" w:rsidRPr="00395E0B" w:rsidRDefault="00AF5791" w:rsidP="00AF5791">
      <w:pPr>
        <w:suppressAutoHyphens w:val="0"/>
        <w:spacing w:after="0" w:line="240" w:lineRule="auto"/>
        <w:rPr>
          <w:rFonts w:ascii="Times New Roman" w:hAnsi="Times New Roman"/>
          <w:sz w:val="24"/>
          <w:szCs w:val="24"/>
        </w:rPr>
      </w:pPr>
    </w:p>
    <w:p w14:paraId="59FEC0FD" w14:textId="77777777" w:rsidR="00AF5791" w:rsidRPr="00395E0B" w:rsidRDefault="00AF5791" w:rsidP="00AF5791">
      <w:pPr>
        <w:suppressAutoHyphens w:val="0"/>
        <w:spacing w:after="0" w:line="240" w:lineRule="auto"/>
        <w:rPr>
          <w:rFonts w:ascii="Times New Roman" w:eastAsia="Times New Roman" w:hAnsi="Times New Roman"/>
          <w:snapToGrid w:val="0"/>
          <w:sz w:val="24"/>
          <w:szCs w:val="24"/>
          <w:lang w:eastAsia="en-GB"/>
        </w:rPr>
      </w:pPr>
    </w:p>
    <w:p w14:paraId="60E4CB02" w14:textId="4C84BD05" w:rsidR="00113A54" w:rsidRPr="003C1579" w:rsidRDefault="00113A54" w:rsidP="003F7876">
      <w:pPr>
        <w:suppressAutoHyphens w:val="0"/>
        <w:spacing w:after="0" w:line="240" w:lineRule="auto"/>
        <w:jc w:val="both"/>
        <w:rPr>
          <w:rFonts w:ascii="Times New Roman" w:hAnsi="Times New Roman"/>
          <w:sz w:val="24"/>
          <w:szCs w:val="24"/>
        </w:rPr>
      </w:pPr>
    </w:p>
    <w:p w14:paraId="60E4CB09" w14:textId="5E0484DA" w:rsidR="00113A54" w:rsidRPr="00480642" w:rsidRDefault="00721DC1" w:rsidP="003F7876">
      <w:pPr>
        <w:suppressAutoHyphens w:val="0"/>
        <w:spacing w:after="0" w:line="240" w:lineRule="auto"/>
        <w:rPr>
          <w:rFonts w:ascii="Times New Roman" w:hAnsi="Times New Roman"/>
          <w:sz w:val="24"/>
          <w:szCs w:val="24"/>
        </w:rPr>
      </w:pPr>
      <w:r>
        <w:rPr>
          <w:rFonts w:ascii="Times New Roman" w:hAnsi="Times New Roman"/>
          <w:sz w:val="24"/>
        </w:rPr>
        <w:t>kuriam, pasirašant šią sutartį, tinkamai atstovauja [</w:t>
      </w:r>
      <w:r>
        <w:rPr>
          <w:rFonts w:ascii="Times New Roman" w:hAnsi="Times New Roman"/>
          <w:sz w:val="24"/>
          <w:shd w:val="clear" w:color="auto" w:fill="C0C0C0"/>
        </w:rPr>
        <w:t>pareigos, vardas, pavardė</w:t>
      </w:r>
      <w:r>
        <w:rPr>
          <w:rFonts w:ascii="Times New Roman" w:hAnsi="Times New Roman"/>
          <w:sz w:val="24"/>
        </w:rPr>
        <w:t>].</w:t>
      </w:r>
    </w:p>
    <w:p w14:paraId="60E4CB0A" w14:textId="77777777" w:rsidR="00113A54" w:rsidRPr="00480642" w:rsidRDefault="00113A54" w:rsidP="00113A54">
      <w:pPr>
        <w:jc w:val="both"/>
        <w:rPr>
          <w:rFonts w:ascii="Times New Roman" w:hAnsi="Times New Roman"/>
          <w:sz w:val="24"/>
          <w:szCs w:val="24"/>
        </w:rPr>
      </w:pPr>
      <w:r>
        <w:rPr>
          <w:rFonts w:ascii="Times New Roman" w:hAnsi="Times New Roman"/>
          <w:sz w:val="24"/>
        </w:rPr>
        <w:t>Nurodytos šalys</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Pr>
          <w:rFonts w:ascii="Times New Roman" w:hAnsi="Times New Roman"/>
          <w:sz w:val="24"/>
        </w:rPr>
        <w:t xml:space="preserve">SUSITARĖ </w:t>
      </w:r>
    </w:p>
    <w:p w14:paraId="60E4CB0D" w14:textId="5FBF2CF8" w:rsidR="00113A54" w:rsidRPr="00480642" w:rsidRDefault="00113A54" w:rsidP="00113A54">
      <w:pPr>
        <w:tabs>
          <w:tab w:val="left" w:pos="1276"/>
        </w:tabs>
        <w:rPr>
          <w:rFonts w:ascii="Times New Roman" w:hAnsi="Times New Roman"/>
          <w:sz w:val="24"/>
          <w:szCs w:val="24"/>
        </w:rPr>
      </w:pPr>
      <w:r>
        <w:rPr>
          <w:rFonts w:ascii="Times New Roman" w:hAnsi="Times New Roman"/>
          <w:sz w:val="24"/>
        </w:rPr>
        <w:t>dėl specialiųjų sąlygų (toliau – specialiosios sąlygos) ir</w:t>
      </w:r>
    </w:p>
    <w:p w14:paraId="60E4CB0E" w14:textId="77777777" w:rsidR="00113A54" w:rsidRPr="00342FB0" w:rsidRDefault="00113A54" w:rsidP="00342FB0">
      <w:pPr>
        <w:jc w:val="both"/>
      </w:pPr>
      <w:r>
        <w:rPr>
          <w:rFonts w:ascii="Times New Roman" w:hAnsi="Times New Roman"/>
          <w:sz w:val="24"/>
        </w:rPr>
        <w:t>šių priedų:</w:t>
      </w:r>
    </w:p>
    <w:p w14:paraId="60E4CB0F" w14:textId="5119785C" w:rsidR="00113A54" w:rsidRPr="00480642" w:rsidDel="00CB2F85" w:rsidRDefault="00113A54" w:rsidP="00113A54">
      <w:pPr>
        <w:tabs>
          <w:tab w:val="left" w:pos="1276"/>
        </w:tabs>
        <w:rPr>
          <w:rFonts w:ascii="Times New Roman" w:hAnsi="Times New Roman"/>
          <w:sz w:val="24"/>
          <w:szCs w:val="24"/>
        </w:rPr>
      </w:pPr>
      <w:r>
        <w:rPr>
          <w:rFonts w:ascii="Times New Roman" w:hAnsi="Times New Roman"/>
          <w:sz w:val="24"/>
        </w:rPr>
        <w:t xml:space="preserve">I priedas.      </w:t>
      </w:r>
      <w:r>
        <w:tab/>
      </w:r>
      <w:r>
        <w:rPr>
          <w:rFonts w:ascii="Times New Roman" w:hAnsi="Times New Roman"/>
          <w:sz w:val="24"/>
        </w:rPr>
        <w:t>Bendrosios sąlygos</w:t>
      </w:r>
      <w:r>
        <w:rPr>
          <w:rFonts w:ascii="Times New Roman" w:hAnsi="Times New Roman"/>
          <w:i/>
          <w:sz w:val="24"/>
        </w:rPr>
        <w:t xml:space="preserve"> </w:t>
      </w:r>
    </w:p>
    <w:p w14:paraId="60E4CB10" w14:textId="3F93F8CC" w:rsidR="00113A54" w:rsidRPr="00480642" w:rsidRDefault="00113A54" w:rsidP="00113A54">
      <w:pPr>
        <w:tabs>
          <w:tab w:val="left" w:pos="1276"/>
        </w:tabs>
        <w:rPr>
          <w:rFonts w:ascii="Times New Roman" w:hAnsi="Times New Roman"/>
          <w:sz w:val="24"/>
          <w:szCs w:val="24"/>
        </w:rPr>
      </w:pPr>
      <w:r>
        <w:rPr>
          <w:rFonts w:ascii="Times New Roman" w:hAnsi="Times New Roman"/>
          <w:sz w:val="24"/>
        </w:rPr>
        <w:t xml:space="preserve">II priedas.     </w:t>
      </w:r>
      <w:r>
        <w:tab/>
      </w:r>
      <w:r>
        <w:rPr>
          <w:rFonts w:ascii="Times New Roman" w:hAnsi="Times New Roman"/>
          <w:sz w:val="24"/>
        </w:rPr>
        <w:t>Projekto aprašymas; projekto biudžeto sąmata</w:t>
      </w:r>
    </w:p>
    <w:p w14:paraId="60E4CB11" w14:textId="3797EA35" w:rsidR="00113A54" w:rsidRPr="00480642" w:rsidRDefault="00113A54" w:rsidP="00113A54">
      <w:pPr>
        <w:ind w:left="1276" w:hanging="1276"/>
        <w:rPr>
          <w:rFonts w:ascii="Times New Roman" w:hAnsi="Times New Roman"/>
          <w:sz w:val="24"/>
          <w:szCs w:val="24"/>
        </w:rPr>
      </w:pPr>
      <w:r>
        <w:rPr>
          <w:rFonts w:ascii="Times New Roman" w:hAnsi="Times New Roman"/>
          <w:sz w:val="24"/>
        </w:rPr>
        <w:t xml:space="preserve">III priedas. </w:t>
      </w:r>
      <w:r>
        <w:tab/>
      </w:r>
      <w:r>
        <w:rPr>
          <w:rFonts w:ascii="Times New Roman" w:hAnsi="Times New Roman"/>
          <w:sz w:val="24"/>
        </w:rPr>
        <w:t>Finansinės ir sutartinės taisyklės</w:t>
      </w:r>
    </w:p>
    <w:p w14:paraId="60E4CB12" w14:textId="2EE5E78E" w:rsidR="00113A54" w:rsidRPr="00480642" w:rsidRDefault="00113A54" w:rsidP="00113A54">
      <w:pPr>
        <w:ind w:left="1276" w:hanging="1276"/>
        <w:rPr>
          <w:rFonts w:ascii="Times New Roman" w:hAnsi="Times New Roman"/>
          <w:sz w:val="24"/>
          <w:szCs w:val="24"/>
        </w:rPr>
      </w:pPr>
      <w:r>
        <w:rPr>
          <w:rFonts w:ascii="Times New Roman" w:hAnsi="Times New Roman"/>
          <w:sz w:val="24"/>
        </w:rPr>
        <w:t xml:space="preserve">IV priedas. </w:t>
      </w:r>
      <w:r>
        <w:tab/>
      </w:r>
      <w:r>
        <w:rPr>
          <w:rFonts w:ascii="Times New Roman" w:hAnsi="Times New Roman"/>
          <w:sz w:val="24"/>
        </w:rPr>
        <w:t>Taikytinos normos</w:t>
      </w:r>
    </w:p>
    <w:p w14:paraId="60E4CB13" w14:textId="1916E0B1" w:rsidR="00113A54" w:rsidRPr="00480642" w:rsidRDefault="00113A54" w:rsidP="00113A54">
      <w:pPr>
        <w:ind w:left="1276" w:hanging="1276"/>
        <w:rPr>
          <w:rFonts w:ascii="Times New Roman" w:hAnsi="Times New Roman"/>
          <w:sz w:val="24"/>
          <w:szCs w:val="24"/>
        </w:rPr>
      </w:pPr>
      <w:r>
        <w:rPr>
          <w:rFonts w:ascii="Times New Roman" w:hAnsi="Times New Roman"/>
          <w:sz w:val="24"/>
        </w:rPr>
        <w:t>V priedas.</w:t>
      </w:r>
      <w:r>
        <w:tab/>
      </w:r>
      <w:r>
        <w:rPr>
          <w:rFonts w:ascii="Times New Roman" w:hAnsi="Times New Roman"/>
          <w:sz w:val="24"/>
        </w:rPr>
        <w:t xml:space="preserve">Sutarčių šablonai, naudotini sudarant gavėjo sutartis su dalyviais, </w:t>
      </w:r>
    </w:p>
    <w:p w14:paraId="60E4CB14" w14:textId="77777777" w:rsidR="00113A54" w:rsidRPr="00480642" w:rsidRDefault="00113A54" w:rsidP="00113A54">
      <w:pPr>
        <w:jc w:val="both"/>
        <w:rPr>
          <w:rFonts w:ascii="Times New Roman" w:hAnsi="Times New Roman"/>
          <w:sz w:val="24"/>
          <w:szCs w:val="24"/>
        </w:rPr>
      </w:pPr>
      <w:r>
        <w:rPr>
          <w:rFonts w:ascii="Times New Roman" w:hAnsi="Times New Roman"/>
          <w:sz w:val="24"/>
        </w:rPr>
        <w:t xml:space="preserve">kurie yra neatskiriama Sutarties dalis. </w:t>
      </w:r>
    </w:p>
    <w:p w14:paraId="60E4CB15" w14:textId="77777777" w:rsidR="00113A54" w:rsidRPr="00480642" w:rsidRDefault="00113A54" w:rsidP="00113A54">
      <w:pPr>
        <w:tabs>
          <w:tab w:val="left" w:pos="1276"/>
        </w:tabs>
        <w:rPr>
          <w:rFonts w:ascii="Times New Roman" w:hAnsi="Times New Roman"/>
          <w:sz w:val="24"/>
          <w:szCs w:val="24"/>
        </w:rPr>
      </w:pPr>
      <w:r>
        <w:rPr>
          <w:rFonts w:ascii="Times New Roman" w:hAnsi="Times New Roman"/>
          <w:sz w:val="24"/>
        </w:rPr>
        <w:t xml:space="preserve">Sutarties specialiųjų sąlygų nuostatos yra viršesnės už jos priedų nuostatas. </w:t>
      </w:r>
    </w:p>
    <w:p w14:paraId="60E4CB16" w14:textId="14B99A52" w:rsidR="00113A54" w:rsidRPr="00480642" w:rsidRDefault="00113A54" w:rsidP="00113A54">
      <w:pPr>
        <w:jc w:val="both"/>
        <w:rPr>
          <w:rFonts w:ascii="Times New Roman" w:hAnsi="Times New Roman"/>
          <w:sz w:val="24"/>
          <w:szCs w:val="24"/>
        </w:rPr>
      </w:pPr>
      <w:r>
        <w:rPr>
          <w:rFonts w:ascii="Times New Roman" w:hAnsi="Times New Roman"/>
          <w:sz w:val="24"/>
        </w:rPr>
        <w:t>I priedo „Bendrosios sąlygos“ nuostatos yra viršesnės už kitų priedų nuostatas. III priedo nuostatos yra viršesnės už II, IV ir V priedų nuostatas.</w:t>
      </w:r>
    </w:p>
    <w:p w14:paraId="60E4CB18" w14:textId="4401074B" w:rsidR="00623D21" w:rsidRPr="00510C97" w:rsidRDefault="00113A54" w:rsidP="00510C97">
      <w:pPr>
        <w:jc w:val="both"/>
        <w:rPr>
          <w:rFonts w:ascii="Times New Roman" w:hAnsi="Times New Roman"/>
        </w:rPr>
      </w:pPr>
      <w:r>
        <w:rPr>
          <w:rFonts w:ascii="Times New Roman" w:hAnsi="Times New Roman"/>
          <w:sz w:val="24"/>
        </w:rPr>
        <w:t>II priedo dalies, kurioje pateikta biudžeto sąmata, nuostatos yra viršesnės už dalies, kurioje pateiktas projekto aprašymas, nuostatas.</w:t>
      </w:r>
    </w:p>
    <w:p w14:paraId="60E4CB19" w14:textId="77777777" w:rsidR="00623D21" w:rsidRPr="00510C97" w:rsidRDefault="00623D21" w:rsidP="009A18E8">
      <w:pPr>
        <w:rPr>
          <w:rFonts w:ascii="Times New Roman" w:hAnsi="Times New Roman"/>
        </w:rPr>
        <w:sectPr w:rsidR="00623D21" w:rsidRPr="00510C97" w:rsidSect="00DE173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60E4CB1A" w14:textId="77777777" w:rsidR="00917A3C" w:rsidRPr="003F7876" w:rsidRDefault="00623D21">
      <w:pPr>
        <w:jc w:val="center"/>
        <w:rPr>
          <w:rFonts w:ascii="Times New Roman" w:hAnsi="Times New Roman"/>
          <w:b/>
          <w:bCs/>
          <w:sz w:val="24"/>
          <w:szCs w:val="24"/>
        </w:rPr>
      </w:pPr>
      <w:r>
        <w:rPr>
          <w:rFonts w:ascii="Times New Roman" w:hAnsi="Times New Roman"/>
          <w:b/>
          <w:sz w:val="24"/>
        </w:rPr>
        <w:lastRenderedPageBreak/>
        <w:t>SPECIALIOSIOS SĄLYGOS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t>Turinys</w:t>
          </w:r>
        </w:p>
        <w:p w14:paraId="4ED17B3A" w14:textId="7FE9EC26" w:rsidR="00D55122" w:rsidRDefault="00113A54">
          <w:pPr>
            <w:pStyle w:val="TOC1"/>
            <w:rPr>
              <w:rFonts w:asciiTheme="minorHAnsi" w:eastAsiaTheme="minorEastAsia" w:hAnsiTheme="minorHAnsi" w:cstheme="minorBidi"/>
              <w:caps w:val="0"/>
              <w:noProof/>
              <w:sz w:val="22"/>
              <w:szCs w:val="22"/>
              <w:lang w:val="en-US"/>
            </w:rPr>
          </w:pPr>
          <w:r>
            <w:fldChar w:fldCharType="begin"/>
          </w:r>
          <w:r>
            <w:instrText xml:space="preserve"> TOC \o "1-3" \h \z \u </w:instrText>
          </w:r>
          <w:r>
            <w:fldChar w:fldCharType="separate"/>
          </w:r>
          <w:hyperlink w:anchor="_Toc107578108" w:history="1">
            <w:r w:rsidR="00D55122" w:rsidRPr="00263763">
              <w:rPr>
                <w:rStyle w:val="Hyperlink"/>
                <w:noProof/>
              </w:rPr>
              <w:t>i.</w:t>
            </w:r>
            <w:r w:rsidR="00D55122" w:rsidRPr="00263763">
              <w:rPr>
                <w:rStyle w:val="Hyperlink"/>
                <w:noProof/>
                <w:lang w:val="en-GB"/>
              </w:rPr>
              <w:t>1</w:t>
            </w:r>
            <w:r w:rsidR="00D55122" w:rsidRPr="00263763">
              <w:rPr>
                <w:rStyle w:val="Hyperlink"/>
                <w:noProof/>
              </w:rPr>
              <w:t xml:space="preserve"> STRAIPSNIS. SUTARTIES DALYKAS</w:t>
            </w:r>
            <w:r w:rsidR="00D55122">
              <w:rPr>
                <w:noProof/>
                <w:webHidden/>
              </w:rPr>
              <w:tab/>
            </w:r>
            <w:r w:rsidR="00D55122">
              <w:rPr>
                <w:noProof/>
                <w:webHidden/>
              </w:rPr>
              <w:fldChar w:fldCharType="begin"/>
            </w:r>
            <w:r w:rsidR="00D55122">
              <w:rPr>
                <w:noProof/>
                <w:webHidden/>
              </w:rPr>
              <w:instrText xml:space="preserve"> PAGEREF _Toc107578108 \h </w:instrText>
            </w:r>
            <w:r w:rsidR="00D55122">
              <w:rPr>
                <w:noProof/>
                <w:webHidden/>
              </w:rPr>
            </w:r>
            <w:r w:rsidR="00D55122">
              <w:rPr>
                <w:noProof/>
                <w:webHidden/>
              </w:rPr>
              <w:fldChar w:fldCharType="separate"/>
            </w:r>
            <w:r w:rsidR="00D55122">
              <w:rPr>
                <w:noProof/>
                <w:webHidden/>
              </w:rPr>
              <w:t>3</w:t>
            </w:r>
            <w:r w:rsidR="00D55122">
              <w:rPr>
                <w:noProof/>
                <w:webHidden/>
              </w:rPr>
              <w:fldChar w:fldCharType="end"/>
            </w:r>
          </w:hyperlink>
        </w:p>
        <w:p w14:paraId="55714479" w14:textId="61B1910B" w:rsidR="00D55122" w:rsidRDefault="003C6F4D">
          <w:pPr>
            <w:pStyle w:val="TOC1"/>
            <w:rPr>
              <w:rFonts w:asciiTheme="minorHAnsi" w:eastAsiaTheme="minorEastAsia" w:hAnsiTheme="minorHAnsi" w:cstheme="minorBidi"/>
              <w:caps w:val="0"/>
              <w:noProof/>
              <w:sz w:val="22"/>
              <w:szCs w:val="22"/>
              <w:lang w:val="en-US"/>
            </w:rPr>
          </w:pPr>
          <w:hyperlink w:anchor="_Toc107578109" w:history="1">
            <w:r w:rsidR="00D55122" w:rsidRPr="00263763">
              <w:rPr>
                <w:rStyle w:val="Hyperlink"/>
                <w:noProof/>
              </w:rPr>
              <w:t>I.2 STRAIPSNIS. SUTARTIES ĮSIGALIOJIMAS IR ĮGYVENDINIMO LAIKOTARPIS</w:t>
            </w:r>
            <w:r w:rsidR="00D55122">
              <w:rPr>
                <w:noProof/>
                <w:webHidden/>
              </w:rPr>
              <w:tab/>
            </w:r>
            <w:r w:rsidR="00D55122">
              <w:rPr>
                <w:noProof/>
                <w:webHidden/>
              </w:rPr>
              <w:fldChar w:fldCharType="begin"/>
            </w:r>
            <w:r w:rsidR="00D55122">
              <w:rPr>
                <w:noProof/>
                <w:webHidden/>
              </w:rPr>
              <w:instrText xml:space="preserve"> PAGEREF _Toc107578109 \h </w:instrText>
            </w:r>
            <w:r w:rsidR="00D55122">
              <w:rPr>
                <w:noProof/>
                <w:webHidden/>
              </w:rPr>
            </w:r>
            <w:r w:rsidR="00D55122">
              <w:rPr>
                <w:noProof/>
                <w:webHidden/>
              </w:rPr>
              <w:fldChar w:fldCharType="separate"/>
            </w:r>
            <w:r w:rsidR="00D55122">
              <w:rPr>
                <w:noProof/>
                <w:webHidden/>
              </w:rPr>
              <w:t>3</w:t>
            </w:r>
            <w:r w:rsidR="00D55122">
              <w:rPr>
                <w:noProof/>
                <w:webHidden/>
              </w:rPr>
              <w:fldChar w:fldCharType="end"/>
            </w:r>
          </w:hyperlink>
        </w:p>
        <w:p w14:paraId="755CBF14" w14:textId="698B65C3" w:rsidR="00D55122" w:rsidRDefault="003C6F4D">
          <w:pPr>
            <w:pStyle w:val="TOC1"/>
            <w:rPr>
              <w:rFonts w:asciiTheme="minorHAnsi" w:eastAsiaTheme="minorEastAsia" w:hAnsiTheme="minorHAnsi" w:cstheme="minorBidi"/>
              <w:caps w:val="0"/>
              <w:noProof/>
              <w:sz w:val="22"/>
              <w:szCs w:val="22"/>
              <w:lang w:val="en-US"/>
            </w:rPr>
          </w:pPr>
          <w:hyperlink w:anchor="_Toc107578110" w:history="1">
            <w:r w:rsidR="00D55122" w:rsidRPr="00263763">
              <w:rPr>
                <w:rStyle w:val="Hyperlink"/>
                <w:noProof/>
              </w:rPr>
              <w:t>I.3 STRAIPSNIS. DIDŽIAUSIA DOTACIJOS SUMA IR DOTACIJOS FORMA</w:t>
            </w:r>
            <w:r w:rsidR="00D55122">
              <w:rPr>
                <w:noProof/>
                <w:webHidden/>
              </w:rPr>
              <w:tab/>
            </w:r>
            <w:r w:rsidR="00D55122">
              <w:rPr>
                <w:noProof/>
                <w:webHidden/>
              </w:rPr>
              <w:fldChar w:fldCharType="begin"/>
            </w:r>
            <w:r w:rsidR="00D55122">
              <w:rPr>
                <w:noProof/>
                <w:webHidden/>
              </w:rPr>
              <w:instrText xml:space="preserve"> PAGEREF _Toc107578110 \h </w:instrText>
            </w:r>
            <w:r w:rsidR="00D55122">
              <w:rPr>
                <w:noProof/>
                <w:webHidden/>
              </w:rPr>
            </w:r>
            <w:r w:rsidR="00D55122">
              <w:rPr>
                <w:noProof/>
                <w:webHidden/>
              </w:rPr>
              <w:fldChar w:fldCharType="separate"/>
            </w:r>
            <w:r w:rsidR="00D55122">
              <w:rPr>
                <w:noProof/>
                <w:webHidden/>
              </w:rPr>
              <w:t>3</w:t>
            </w:r>
            <w:r w:rsidR="00D55122">
              <w:rPr>
                <w:noProof/>
                <w:webHidden/>
              </w:rPr>
              <w:fldChar w:fldCharType="end"/>
            </w:r>
          </w:hyperlink>
        </w:p>
        <w:p w14:paraId="021B5C67" w14:textId="2B74C9C7" w:rsidR="00D55122" w:rsidRDefault="003C6F4D">
          <w:pPr>
            <w:pStyle w:val="TOC1"/>
            <w:rPr>
              <w:rFonts w:asciiTheme="minorHAnsi" w:eastAsiaTheme="minorEastAsia" w:hAnsiTheme="minorHAnsi" w:cstheme="minorBidi"/>
              <w:caps w:val="0"/>
              <w:noProof/>
              <w:sz w:val="22"/>
              <w:szCs w:val="22"/>
              <w:lang w:val="en-US"/>
            </w:rPr>
          </w:pPr>
          <w:hyperlink w:anchor="_Toc107578111" w:history="1">
            <w:r w:rsidR="00D55122" w:rsidRPr="00263763">
              <w:rPr>
                <w:rStyle w:val="Hyperlink"/>
                <w:noProof/>
              </w:rPr>
              <w:t>I.4 STRAIPSNIS. ATASKAITŲ TEIKIMO IR MOKĖJIMO TVARKA</w:t>
            </w:r>
            <w:r w:rsidR="00D55122">
              <w:rPr>
                <w:noProof/>
                <w:webHidden/>
              </w:rPr>
              <w:tab/>
            </w:r>
            <w:r w:rsidR="00D55122">
              <w:rPr>
                <w:noProof/>
                <w:webHidden/>
              </w:rPr>
              <w:fldChar w:fldCharType="begin"/>
            </w:r>
            <w:r w:rsidR="00D55122">
              <w:rPr>
                <w:noProof/>
                <w:webHidden/>
              </w:rPr>
              <w:instrText xml:space="preserve"> PAGEREF _Toc107578111 \h </w:instrText>
            </w:r>
            <w:r w:rsidR="00D55122">
              <w:rPr>
                <w:noProof/>
                <w:webHidden/>
              </w:rPr>
            </w:r>
            <w:r w:rsidR="00D55122">
              <w:rPr>
                <w:noProof/>
                <w:webHidden/>
              </w:rPr>
              <w:fldChar w:fldCharType="separate"/>
            </w:r>
            <w:r w:rsidR="00D55122">
              <w:rPr>
                <w:noProof/>
                <w:webHidden/>
              </w:rPr>
              <w:t>4</w:t>
            </w:r>
            <w:r w:rsidR="00D55122">
              <w:rPr>
                <w:noProof/>
                <w:webHidden/>
              </w:rPr>
              <w:fldChar w:fldCharType="end"/>
            </w:r>
          </w:hyperlink>
        </w:p>
        <w:p w14:paraId="6EB491E3" w14:textId="6AB84C2E" w:rsidR="00D55122" w:rsidRDefault="003C6F4D">
          <w:pPr>
            <w:pStyle w:val="TOC2"/>
            <w:rPr>
              <w:rFonts w:asciiTheme="minorHAnsi" w:eastAsiaTheme="minorEastAsia" w:hAnsiTheme="minorHAnsi" w:cstheme="minorBidi"/>
              <w:noProof/>
              <w:sz w:val="22"/>
              <w:szCs w:val="22"/>
              <w:lang w:val="en-US"/>
            </w:rPr>
          </w:pPr>
          <w:hyperlink w:anchor="_Toc107578112" w:history="1">
            <w:r w:rsidR="00D55122" w:rsidRPr="00263763">
              <w:rPr>
                <w:rStyle w:val="Hyperlink"/>
                <w:noProof/>
                <w:lang w:eastAsia="en-GB"/>
              </w:rPr>
              <w:t>I.4.1 Atliktini mokėjimai</w:t>
            </w:r>
            <w:r w:rsidR="00D55122">
              <w:rPr>
                <w:noProof/>
                <w:webHidden/>
              </w:rPr>
              <w:tab/>
            </w:r>
            <w:r w:rsidR="00D55122">
              <w:rPr>
                <w:noProof/>
                <w:webHidden/>
              </w:rPr>
              <w:fldChar w:fldCharType="begin"/>
            </w:r>
            <w:r w:rsidR="00D55122">
              <w:rPr>
                <w:noProof/>
                <w:webHidden/>
              </w:rPr>
              <w:instrText xml:space="preserve"> PAGEREF _Toc107578112 \h </w:instrText>
            </w:r>
            <w:r w:rsidR="00D55122">
              <w:rPr>
                <w:noProof/>
                <w:webHidden/>
              </w:rPr>
            </w:r>
            <w:r w:rsidR="00D55122">
              <w:rPr>
                <w:noProof/>
                <w:webHidden/>
              </w:rPr>
              <w:fldChar w:fldCharType="separate"/>
            </w:r>
            <w:r w:rsidR="00D55122">
              <w:rPr>
                <w:noProof/>
                <w:webHidden/>
              </w:rPr>
              <w:t>4</w:t>
            </w:r>
            <w:r w:rsidR="00D55122">
              <w:rPr>
                <w:noProof/>
                <w:webHidden/>
              </w:rPr>
              <w:fldChar w:fldCharType="end"/>
            </w:r>
          </w:hyperlink>
        </w:p>
        <w:p w14:paraId="204DB3B2" w14:textId="7D3A4E10" w:rsidR="00D55122" w:rsidRDefault="003C6F4D">
          <w:pPr>
            <w:pStyle w:val="TOC2"/>
            <w:rPr>
              <w:rFonts w:asciiTheme="minorHAnsi" w:eastAsiaTheme="minorEastAsia" w:hAnsiTheme="minorHAnsi" w:cstheme="minorBidi"/>
              <w:noProof/>
              <w:sz w:val="22"/>
              <w:szCs w:val="22"/>
              <w:lang w:val="en-US"/>
            </w:rPr>
          </w:pPr>
          <w:hyperlink w:anchor="_Toc107578113" w:history="1">
            <w:r w:rsidR="00D55122" w:rsidRPr="00263763">
              <w:rPr>
                <w:rStyle w:val="Hyperlink"/>
                <w:noProof/>
                <w:lang w:eastAsia="en-GB"/>
              </w:rPr>
              <w:t>I.4.2 Išankstinio finansavimo mokėjimas</w:t>
            </w:r>
            <w:r w:rsidR="00D55122">
              <w:rPr>
                <w:noProof/>
                <w:webHidden/>
              </w:rPr>
              <w:tab/>
            </w:r>
            <w:r w:rsidR="00D55122">
              <w:rPr>
                <w:noProof/>
                <w:webHidden/>
              </w:rPr>
              <w:fldChar w:fldCharType="begin"/>
            </w:r>
            <w:r w:rsidR="00D55122">
              <w:rPr>
                <w:noProof/>
                <w:webHidden/>
              </w:rPr>
              <w:instrText xml:space="preserve"> PAGEREF _Toc107578113 \h </w:instrText>
            </w:r>
            <w:r w:rsidR="00D55122">
              <w:rPr>
                <w:noProof/>
                <w:webHidden/>
              </w:rPr>
            </w:r>
            <w:r w:rsidR="00D55122">
              <w:rPr>
                <w:noProof/>
                <w:webHidden/>
              </w:rPr>
              <w:fldChar w:fldCharType="separate"/>
            </w:r>
            <w:r w:rsidR="00D55122">
              <w:rPr>
                <w:noProof/>
                <w:webHidden/>
              </w:rPr>
              <w:t>4</w:t>
            </w:r>
            <w:r w:rsidR="00D55122">
              <w:rPr>
                <w:noProof/>
                <w:webHidden/>
              </w:rPr>
              <w:fldChar w:fldCharType="end"/>
            </w:r>
          </w:hyperlink>
        </w:p>
        <w:p w14:paraId="5FF37261" w14:textId="231A0732" w:rsidR="00D55122" w:rsidRDefault="003C6F4D">
          <w:pPr>
            <w:pStyle w:val="TOC2"/>
            <w:rPr>
              <w:rFonts w:asciiTheme="minorHAnsi" w:eastAsiaTheme="minorEastAsia" w:hAnsiTheme="minorHAnsi" w:cstheme="minorBidi"/>
              <w:noProof/>
              <w:sz w:val="22"/>
              <w:szCs w:val="22"/>
              <w:lang w:val="en-US"/>
            </w:rPr>
          </w:pPr>
          <w:hyperlink w:anchor="_Toc107578114" w:history="1">
            <w:r w:rsidR="00D55122" w:rsidRPr="00263763">
              <w:rPr>
                <w:rStyle w:val="Hyperlink"/>
                <w:noProof/>
              </w:rPr>
              <w:t>I.4.3 Ataskaitų teikimas, prašymai atlikti išankstinio finansavimo mokėjimus ir tarpinės ataskaitos</w:t>
            </w:r>
            <w:r w:rsidR="00D55122">
              <w:rPr>
                <w:noProof/>
                <w:webHidden/>
              </w:rPr>
              <w:tab/>
            </w:r>
            <w:r w:rsidR="00D55122">
              <w:rPr>
                <w:noProof/>
                <w:webHidden/>
              </w:rPr>
              <w:fldChar w:fldCharType="begin"/>
            </w:r>
            <w:r w:rsidR="00D55122">
              <w:rPr>
                <w:noProof/>
                <w:webHidden/>
              </w:rPr>
              <w:instrText xml:space="preserve"> PAGEREF _Toc107578114 \h </w:instrText>
            </w:r>
            <w:r w:rsidR="00D55122">
              <w:rPr>
                <w:noProof/>
                <w:webHidden/>
              </w:rPr>
            </w:r>
            <w:r w:rsidR="00D55122">
              <w:rPr>
                <w:noProof/>
                <w:webHidden/>
              </w:rPr>
              <w:fldChar w:fldCharType="separate"/>
            </w:r>
            <w:r w:rsidR="00D55122">
              <w:rPr>
                <w:noProof/>
                <w:webHidden/>
              </w:rPr>
              <w:t>6</w:t>
            </w:r>
            <w:r w:rsidR="00D55122">
              <w:rPr>
                <w:noProof/>
                <w:webHidden/>
              </w:rPr>
              <w:fldChar w:fldCharType="end"/>
            </w:r>
          </w:hyperlink>
        </w:p>
        <w:p w14:paraId="1977CE5B" w14:textId="0B78392C" w:rsidR="00D55122" w:rsidRDefault="003C6F4D">
          <w:pPr>
            <w:pStyle w:val="TOC2"/>
            <w:rPr>
              <w:rFonts w:asciiTheme="minorHAnsi" w:eastAsiaTheme="minorEastAsia" w:hAnsiTheme="minorHAnsi" w:cstheme="minorBidi"/>
              <w:noProof/>
              <w:sz w:val="22"/>
              <w:szCs w:val="22"/>
              <w:lang w:val="en-US"/>
            </w:rPr>
          </w:pPr>
          <w:hyperlink w:anchor="_Toc107578115" w:history="1">
            <w:r w:rsidR="00D55122" w:rsidRPr="00263763">
              <w:rPr>
                <w:rStyle w:val="Hyperlink"/>
                <w:noProof/>
              </w:rPr>
              <w:t>I.4.4 Galutinė ataskaita ir prašymas išmokėti likutį</w:t>
            </w:r>
            <w:r w:rsidR="00D55122">
              <w:rPr>
                <w:noProof/>
                <w:webHidden/>
              </w:rPr>
              <w:tab/>
            </w:r>
            <w:r w:rsidR="00D55122">
              <w:rPr>
                <w:noProof/>
                <w:webHidden/>
              </w:rPr>
              <w:fldChar w:fldCharType="begin"/>
            </w:r>
            <w:r w:rsidR="00D55122">
              <w:rPr>
                <w:noProof/>
                <w:webHidden/>
              </w:rPr>
              <w:instrText xml:space="preserve"> PAGEREF _Toc107578115 \h </w:instrText>
            </w:r>
            <w:r w:rsidR="00D55122">
              <w:rPr>
                <w:noProof/>
                <w:webHidden/>
              </w:rPr>
            </w:r>
            <w:r w:rsidR="00D55122">
              <w:rPr>
                <w:noProof/>
                <w:webHidden/>
              </w:rPr>
              <w:fldChar w:fldCharType="separate"/>
            </w:r>
            <w:r w:rsidR="00D55122">
              <w:rPr>
                <w:noProof/>
                <w:webHidden/>
              </w:rPr>
              <w:t>9</w:t>
            </w:r>
            <w:r w:rsidR="00D55122">
              <w:rPr>
                <w:noProof/>
                <w:webHidden/>
              </w:rPr>
              <w:fldChar w:fldCharType="end"/>
            </w:r>
          </w:hyperlink>
        </w:p>
        <w:p w14:paraId="243427BE" w14:textId="003BFFAB" w:rsidR="00D55122" w:rsidRDefault="003C6F4D">
          <w:pPr>
            <w:pStyle w:val="TOC2"/>
            <w:rPr>
              <w:rFonts w:asciiTheme="minorHAnsi" w:eastAsiaTheme="minorEastAsia" w:hAnsiTheme="minorHAnsi" w:cstheme="minorBidi"/>
              <w:noProof/>
              <w:sz w:val="22"/>
              <w:szCs w:val="22"/>
              <w:lang w:val="en-US"/>
            </w:rPr>
          </w:pPr>
          <w:hyperlink w:anchor="_Toc107578116" w:history="1">
            <w:r w:rsidR="00D55122" w:rsidRPr="00263763">
              <w:rPr>
                <w:rStyle w:val="Hyperlink"/>
                <w:noProof/>
                <w:lang w:eastAsia="en-GB"/>
              </w:rPr>
              <w:t>I.4.5. Likučio išmokėjimas</w:t>
            </w:r>
            <w:r w:rsidR="00D55122">
              <w:rPr>
                <w:noProof/>
                <w:webHidden/>
              </w:rPr>
              <w:tab/>
            </w:r>
            <w:r w:rsidR="00D55122">
              <w:rPr>
                <w:noProof/>
                <w:webHidden/>
              </w:rPr>
              <w:fldChar w:fldCharType="begin"/>
            </w:r>
            <w:r w:rsidR="00D55122">
              <w:rPr>
                <w:noProof/>
                <w:webHidden/>
              </w:rPr>
              <w:instrText xml:space="preserve"> PAGEREF _Toc107578116 \h </w:instrText>
            </w:r>
            <w:r w:rsidR="00D55122">
              <w:rPr>
                <w:noProof/>
                <w:webHidden/>
              </w:rPr>
            </w:r>
            <w:r w:rsidR="00D55122">
              <w:rPr>
                <w:noProof/>
                <w:webHidden/>
              </w:rPr>
              <w:fldChar w:fldCharType="separate"/>
            </w:r>
            <w:r w:rsidR="00D55122">
              <w:rPr>
                <w:noProof/>
                <w:webHidden/>
              </w:rPr>
              <w:t>9</w:t>
            </w:r>
            <w:r w:rsidR="00D55122">
              <w:rPr>
                <w:noProof/>
                <w:webHidden/>
              </w:rPr>
              <w:fldChar w:fldCharType="end"/>
            </w:r>
          </w:hyperlink>
        </w:p>
        <w:p w14:paraId="7FE55DB7" w14:textId="6628FD6B" w:rsidR="00D55122" w:rsidRDefault="003C6F4D">
          <w:pPr>
            <w:pStyle w:val="TOC2"/>
            <w:tabs>
              <w:tab w:val="left" w:pos="1916"/>
            </w:tabs>
            <w:rPr>
              <w:rFonts w:asciiTheme="minorHAnsi" w:eastAsiaTheme="minorEastAsia" w:hAnsiTheme="minorHAnsi" w:cstheme="minorBidi"/>
              <w:noProof/>
              <w:sz w:val="22"/>
              <w:szCs w:val="22"/>
              <w:lang w:val="en-US"/>
            </w:rPr>
          </w:pPr>
          <w:hyperlink w:anchor="_Toc107578117" w:history="1">
            <w:r w:rsidR="00D55122" w:rsidRPr="00263763">
              <w:rPr>
                <w:rStyle w:val="Hyperlink"/>
                <w:noProof/>
              </w:rPr>
              <w:t>I.4.6</w:t>
            </w:r>
            <w:r w:rsidR="00D55122">
              <w:rPr>
                <w:rFonts w:asciiTheme="minorHAnsi" w:eastAsiaTheme="minorEastAsia" w:hAnsiTheme="minorHAnsi" w:cstheme="minorBidi"/>
                <w:noProof/>
                <w:sz w:val="22"/>
                <w:szCs w:val="22"/>
                <w:lang w:val="en-US"/>
              </w:rPr>
              <w:tab/>
            </w:r>
            <w:r w:rsidR="00D55122" w:rsidRPr="00263763">
              <w:rPr>
                <w:rStyle w:val="Hyperlink"/>
                <w:noProof/>
              </w:rPr>
              <w:t>Pranešimas apie mokėtinas sumas</w:t>
            </w:r>
            <w:r w:rsidR="00D55122">
              <w:rPr>
                <w:noProof/>
                <w:webHidden/>
              </w:rPr>
              <w:tab/>
            </w:r>
            <w:r w:rsidR="00D55122">
              <w:rPr>
                <w:noProof/>
                <w:webHidden/>
              </w:rPr>
              <w:fldChar w:fldCharType="begin"/>
            </w:r>
            <w:r w:rsidR="00D55122">
              <w:rPr>
                <w:noProof/>
                <w:webHidden/>
              </w:rPr>
              <w:instrText xml:space="preserve"> PAGEREF _Toc107578117 \h </w:instrText>
            </w:r>
            <w:r w:rsidR="00D55122">
              <w:rPr>
                <w:noProof/>
                <w:webHidden/>
              </w:rPr>
            </w:r>
            <w:r w:rsidR="00D55122">
              <w:rPr>
                <w:noProof/>
                <w:webHidden/>
              </w:rPr>
              <w:fldChar w:fldCharType="separate"/>
            </w:r>
            <w:r w:rsidR="00D55122">
              <w:rPr>
                <w:noProof/>
                <w:webHidden/>
              </w:rPr>
              <w:t>10</w:t>
            </w:r>
            <w:r w:rsidR="00D55122">
              <w:rPr>
                <w:noProof/>
                <w:webHidden/>
              </w:rPr>
              <w:fldChar w:fldCharType="end"/>
            </w:r>
          </w:hyperlink>
        </w:p>
        <w:p w14:paraId="1D493071" w14:textId="601231C5" w:rsidR="00D55122" w:rsidRDefault="003C6F4D">
          <w:pPr>
            <w:pStyle w:val="TOC2"/>
            <w:tabs>
              <w:tab w:val="left" w:pos="1916"/>
            </w:tabs>
            <w:rPr>
              <w:rFonts w:asciiTheme="minorHAnsi" w:eastAsiaTheme="minorEastAsia" w:hAnsiTheme="minorHAnsi" w:cstheme="minorBidi"/>
              <w:noProof/>
              <w:sz w:val="22"/>
              <w:szCs w:val="22"/>
              <w:lang w:val="en-US"/>
            </w:rPr>
          </w:pPr>
          <w:hyperlink w:anchor="_Toc107578118" w:history="1">
            <w:r w:rsidR="00D55122" w:rsidRPr="00263763">
              <w:rPr>
                <w:rStyle w:val="Hyperlink"/>
                <w:noProof/>
              </w:rPr>
              <w:t>I.4.7</w:t>
            </w:r>
            <w:r w:rsidR="00D55122">
              <w:rPr>
                <w:rFonts w:asciiTheme="minorHAnsi" w:eastAsiaTheme="minorEastAsia" w:hAnsiTheme="minorHAnsi" w:cstheme="minorBidi"/>
                <w:noProof/>
                <w:sz w:val="22"/>
                <w:szCs w:val="22"/>
                <w:lang w:val="en-US"/>
              </w:rPr>
              <w:tab/>
            </w:r>
            <w:r w:rsidR="00D55122" w:rsidRPr="00263763">
              <w:rPr>
                <w:rStyle w:val="Hyperlink"/>
                <w:noProof/>
                <w:lang w:eastAsia="en-GB"/>
              </w:rPr>
              <w:t>Mokėjimai gavėjui ir delspinigiai už pavėluotą mokėjimą</w:t>
            </w:r>
            <w:r w:rsidR="00D55122">
              <w:rPr>
                <w:noProof/>
                <w:webHidden/>
              </w:rPr>
              <w:tab/>
            </w:r>
            <w:r w:rsidR="00D55122">
              <w:rPr>
                <w:noProof/>
                <w:webHidden/>
              </w:rPr>
              <w:fldChar w:fldCharType="begin"/>
            </w:r>
            <w:r w:rsidR="00D55122">
              <w:rPr>
                <w:noProof/>
                <w:webHidden/>
              </w:rPr>
              <w:instrText xml:space="preserve"> PAGEREF _Toc107578118 \h </w:instrText>
            </w:r>
            <w:r w:rsidR="00D55122">
              <w:rPr>
                <w:noProof/>
                <w:webHidden/>
              </w:rPr>
            </w:r>
            <w:r w:rsidR="00D55122">
              <w:rPr>
                <w:noProof/>
                <w:webHidden/>
              </w:rPr>
              <w:fldChar w:fldCharType="separate"/>
            </w:r>
            <w:r w:rsidR="00D55122">
              <w:rPr>
                <w:noProof/>
                <w:webHidden/>
              </w:rPr>
              <w:t>10</w:t>
            </w:r>
            <w:r w:rsidR="00D55122">
              <w:rPr>
                <w:noProof/>
                <w:webHidden/>
              </w:rPr>
              <w:fldChar w:fldCharType="end"/>
            </w:r>
          </w:hyperlink>
        </w:p>
        <w:p w14:paraId="1BD41560" w14:textId="1DDD3B7B" w:rsidR="00D55122" w:rsidRDefault="003C6F4D">
          <w:pPr>
            <w:pStyle w:val="TOC2"/>
            <w:tabs>
              <w:tab w:val="left" w:pos="1916"/>
            </w:tabs>
            <w:rPr>
              <w:rFonts w:asciiTheme="minorHAnsi" w:eastAsiaTheme="minorEastAsia" w:hAnsiTheme="minorHAnsi" w:cstheme="minorBidi"/>
              <w:noProof/>
              <w:sz w:val="22"/>
              <w:szCs w:val="22"/>
              <w:lang w:val="en-US"/>
            </w:rPr>
          </w:pPr>
          <w:hyperlink w:anchor="_Toc107578119" w:history="1">
            <w:r w:rsidR="00D55122" w:rsidRPr="00263763">
              <w:rPr>
                <w:rStyle w:val="Hyperlink"/>
                <w:noProof/>
                <w:lang w:eastAsia="en-GB"/>
              </w:rPr>
              <w:t>I.4.8</w:t>
            </w:r>
            <w:r w:rsidR="00D55122">
              <w:rPr>
                <w:rFonts w:asciiTheme="minorHAnsi" w:eastAsiaTheme="minorEastAsia" w:hAnsiTheme="minorHAnsi" w:cstheme="minorBidi"/>
                <w:noProof/>
                <w:sz w:val="22"/>
                <w:szCs w:val="22"/>
                <w:lang w:val="en-US"/>
              </w:rPr>
              <w:tab/>
            </w:r>
            <w:r w:rsidR="00D55122" w:rsidRPr="00263763">
              <w:rPr>
                <w:rStyle w:val="Hyperlink"/>
                <w:noProof/>
                <w:lang w:eastAsia="en-GB"/>
              </w:rPr>
              <w:t>Mokėjimų valiuta</w:t>
            </w:r>
            <w:r w:rsidR="00D55122">
              <w:rPr>
                <w:noProof/>
                <w:webHidden/>
              </w:rPr>
              <w:tab/>
            </w:r>
            <w:r w:rsidR="00D55122">
              <w:rPr>
                <w:noProof/>
                <w:webHidden/>
              </w:rPr>
              <w:fldChar w:fldCharType="begin"/>
            </w:r>
            <w:r w:rsidR="00D55122">
              <w:rPr>
                <w:noProof/>
                <w:webHidden/>
              </w:rPr>
              <w:instrText xml:space="preserve"> PAGEREF _Toc107578119 \h </w:instrText>
            </w:r>
            <w:r w:rsidR="00D55122">
              <w:rPr>
                <w:noProof/>
                <w:webHidden/>
              </w:rPr>
            </w:r>
            <w:r w:rsidR="00D55122">
              <w:rPr>
                <w:noProof/>
                <w:webHidden/>
              </w:rPr>
              <w:fldChar w:fldCharType="separate"/>
            </w:r>
            <w:r w:rsidR="00D55122">
              <w:rPr>
                <w:noProof/>
                <w:webHidden/>
              </w:rPr>
              <w:t>11</w:t>
            </w:r>
            <w:r w:rsidR="00D55122">
              <w:rPr>
                <w:noProof/>
                <w:webHidden/>
              </w:rPr>
              <w:fldChar w:fldCharType="end"/>
            </w:r>
          </w:hyperlink>
        </w:p>
        <w:p w14:paraId="3244D1CD" w14:textId="214060DF" w:rsidR="00D55122" w:rsidRDefault="003C6F4D">
          <w:pPr>
            <w:pStyle w:val="TOC2"/>
            <w:rPr>
              <w:rFonts w:asciiTheme="minorHAnsi" w:eastAsiaTheme="minorEastAsia" w:hAnsiTheme="minorHAnsi" w:cstheme="minorBidi"/>
              <w:noProof/>
              <w:sz w:val="22"/>
              <w:szCs w:val="22"/>
              <w:lang w:val="en-US"/>
            </w:rPr>
          </w:pPr>
          <w:hyperlink w:anchor="_Toc107578120" w:history="1">
            <w:r w:rsidR="00D55122" w:rsidRPr="00263763">
              <w:rPr>
                <w:rStyle w:val="Hyperlink"/>
                <w:noProof/>
              </w:rPr>
              <w:t>I.4.9. Prašymuose atlikti mokėjimus nurodoma valiuta ir konvertavimas į eurus</w:t>
            </w:r>
            <w:r w:rsidR="00D55122">
              <w:rPr>
                <w:noProof/>
                <w:webHidden/>
              </w:rPr>
              <w:tab/>
            </w:r>
            <w:r w:rsidR="00D55122">
              <w:rPr>
                <w:noProof/>
                <w:webHidden/>
              </w:rPr>
              <w:fldChar w:fldCharType="begin"/>
            </w:r>
            <w:r w:rsidR="00D55122">
              <w:rPr>
                <w:noProof/>
                <w:webHidden/>
              </w:rPr>
              <w:instrText xml:space="preserve"> PAGEREF _Toc107578120 \h </w:instrText>
            </w:r>
            <w:r w:rsidR="00D55122">
              <w:rPr>
                <w:noProof/>
                <w:webHidden/>
              </w:rPr>
            </w:r>
            <w:r w:rsidR="00D55122">
              <w:rPr>
                <w:noProof/>
                <w:webHidden/>
              </w:rPr>
              <w:fldChar w:fldCharType="separate"/>
            </w:r>
            <w:r w:rsidR="00D55122">
              <w:rPr>
                <w:noProof/>
                <w:webHidden/>
              </w:rPr>
              <w:t>11</w:t>
            </w:r>
            <w:r w:rsidR="00D55122">
              <w:rPr>
                <w:noProof/>
                <w:webHidden/>
              </w:rPr>
              <w:fldChar w:fldCharType="end"/>
            </w:r>
          </w:hyperlink>
        </w:p>
        <w:p w14:paraId="15317BB8" w14:textId="3AE0CF6B" w:rsidR="00D55122" w:rsidRDefault="003C6F4D">
          <w:pPr>
            <w:pStyle w:val="TOC2"/>
            <w:rPr>
              <w:rFonts w:asciiTheme="minorHAnsi" w:eastAsiaTheme="minorEastAsia" w:hAnsiTheme="minorHAnsi" w:cstheme="minorBidi"/>
              <w:noProof/>
              <w:sz w:val="22"/>
              <w:szCs w:val="22"/>
              <w:lang w:val="en-US"/>
            </w:rPr>
          </w:pPr>
          <w:hyperlink w:anchor="_Toc107578121" w:history="1">
            <w:r w:rsidR="00D55122" w:rsidRPr="00263763">
              <w:rPr>
                <w:rStyle w:val="Hyperlink"/>
                <w:noProof/>
              </w:rPr>
              <w:t>I.4.10 Prašymų atlikti mokėjimus ir ataskaitų teikimo kalba</w:t>
            </w:r>
            <w:r w:rsidR="00D55122">
              <w:rPr>
                <w:noProof/>
                <w:webHidden/>
              </w:rPr>
              <w:tab/>
            </w:r>
            <w:r w:rsidR="00D55122">
              <w:rPr>
                <w:noProof/>
                <w:webHidden/>
              </w:rPr>
              <w:fldChar w:fldCharType="begin"/>
            </w:r>
            <w:r w:rsidR="00D55122">
              <w:rPr>
                <w:noProof/>
                <w:webHidden/>
              </w:rPr>
              <w:instrText xml:space="preserve"> PAGEREF _Toc107578121 \h </w:instrText>
            </w:r>
            <w:r w:rsidR="00D55122">
              <w:rPr>
                <w:noProof/>
                <w:webHidden/>
              </w:rPr>
            </w:r>
            <w:r w:rsidR="00D55122">
              <w:rPr>
                <w:noProof/>
                <w:webHidden/>
              </w:rPr>
              <w:fldChar w:fldCharType="separate"/>
            </w:r>
            <w:r w:rsidR="00D55122">
              <w:rPr>
                <w:noProof/>
                <w:webHidden/>
              </w:rPr>
              <w:t>12</w:t>
            </w:r>
            <w:r w:rsidR="00D55122">
              <w:rPr>
                <w:noProof/>
                <w:webHidden/>
              </w:rPr>
              <w:fldChar w:fldCharType="end"/>
            </w:r>
          </w:hyperlink>
        </w:p>
        <w:p w14:paraId="2663F7F2" w14:textId="2A59727A" w:rsidR="00D55122" w:rsidRDefault="003C6F4D">
          <w:pPr>
            <w:pStyle w:val="TOC2"/>
            <w:tabs>
              <w:tab w:val="left" w:pos="1916"/>
            </w:tabs>
            <w:rPr>
              <w:rFonts w:asciiTheme="minorHAnsi" w:eastAsiaTheme="minorEastAsia" w:hAnsiTheme="minorHAnsi" w:cstheme="minorBidi"/>
              <w:noProof/>
              <w:sz w:val="22"/>
              <w:szCs w:val="22"/>
              <w:lang w:val="en-US"/>
            </w:rPr>
          </w:pPr>
          <w:hyperlink w:anchor="_Toc107578122" w:history="1">
            <w:r w:rsidR="00D55122" w:rsidRPr="00263763">
              <w:rPr>
                <w:rStyle w:val="Hyperlink"/>
                <w:noProof/>
              </w:rPr>
              <w:t>I.4.11</w:t>
            </w:r>
            <w:r w:rsidR="00D55122">
              <w:rPr>
                <w:rFonts w:asciiTheme="minorHAnsi" w:eastAsiaTheme="minorEastAsia" w:hAnsiTheme="minorHAnsi" w:cstheme="minorBidi"/>
                <w:noProof/>
                <w:sz w:val="22"/>
                <w:szCs w:val="22"/>
                <w:lang w:val="en-US"/>
              </w:rPr>
              <w:tab/>
            </w:r>
            <w:r w:rsidR="00D55122" w:rsidRPr="00263763">
              <w:rPr>
                <w:rStyle w:val="Hyperlink"/>
                <w:noProof/>
                <w:lang w:eastAsia="en-GB"/>
              </w:rPr>
              <w:t>Mokėjimo data</w:t>
            </w:r>
            <w:r w:rsidR="00D55122">
              <w:rPr>
                <w:noProof/>
                <w:webHidden/>
              </w:rPr>
              <w:tab/>
            </w:r>
            <w:r w:rsidR="00D55122">
              <w:rPr>
                <w:noProof/>
                <w:webHidden/>
              </w:rPr>
              <w:fldChar w:fldCharType="begin"/>
            </w:r>
            <w:r w:rsidR="00D55122">
              <w:rPr>
                <w:noProof/>
                <w:webHidden/>
              </w:rPr>
              <w:instrText xml:space="preserve"> PAGEREF _Toc107578122 \h </w:instrText>
            </w:r>
            <w:r w:rsidR="00D55122">
              <w:rPr>
                <w:noProof/>
                <w:webHidden/>
              </w:rPr>
            </w:r>
            <w:r w:rsidR="00D55122">
              <w:rPr>
                <w:noProof/>
                <w:webHidden/>
              </w:rPr>
              <w:fldChar w:fldCharType="separate"/>
            </w:r>
            <w:r w:rsidR="00D55122">
              <w:rPr>
                <w:noProof/>
                <w:webHidden/>
              </w:rPr>
              <w:t>12</w:t>
            </w:r>
            <w:r w:rsidR="00D55122">
              <w:rPr>
                <w:noProof/>
                <w:webHidden/>
              </w:rPr>
              <w:fldChar w:fldCharType="end"/>
            </w:r>
          </w:hyperlink>
        </w:p>
        <w:p w14:paraId="642BB7EF" w14:textId="7C947701" w:rsidR="00D55122" w:rsidRDefault="003C6F4D">
          <w:pPr>
            <w:pStyle w:val="TOC2"/>
            <w:tabs>
              <w:tab w:val="left" w:pos="1916"/>
            </w:tabs>
            <w:rPr>
              <w:rFonts w:asciiTheme="minorHAnsi" w:eastAsiaTheme="minorEastAsia" w:hAnsiTheme="minorHAnsi" w:cstheme="minorBidi"/>
              <w:noProof/>
              <w:sz w:val="22"/>
              <w:szCs w:val="22"/>
              <w:lang w:val="en-US"/>
            </w:rPr>
          </w:pPr>
          <w:hyperlink w:anchor="_Toc107578123" w:history="1">
            <w:r w:rsidR="00D55122" w:rsidRPr="00263763">
              <w:rPr>
                <w:rStyle w:val="Hyperlink"/>
                <w:noProof/>
              </w:rPr>
              <w:t>I.4.12</w:t>
            </w:r>
            <w:r w:rsidR="00D55122">
              <w:rPr>
                <w:rFonts w:asciiTheme="minorHAnsi" w:eastAsiaTheme="minorEastAsia" w:hAnsiTheme="minorHAnsi" w:cstheme="minorBidi"/>
                <w:noProof/>
                <w:sz w:val="22"/>
                <w:szCs w:val="22"/>
                <w:lang w:val="en-US"/>
              </w:rPr>
              <w:tab/>
            </w:r>
            <w:r w:rsidR="00D55122" w:rsidRPr="00263763">
              <w:rPr>
                <w:rStyle w:val="Hyperlink"/>
                <w:noProof/>
                <w:lang w:eastAsia="en-GB"/>
              </w:rPr>
              <w:t>Mokėjimų pervedimo išlaidos</w:t>
            </w:r>
            <w:r w:rsidR="00D55122">
              <w:rPr>
                <w:noProof/>
                <w:webHidden/>
              </w:rPr>
              <w:tab/>
            </w:r>
            <w:r w:rsidR="00D55122">
              <w:rPr>
                <w:noProof/>
                <w:webHidden/>
              </w:rPr>
              <w:fldChar w:fldCharType="begin"/>
            </w:r>
            <w:r w:rsidR="00D55122">
              <w:rPr>
                <w:noProof/>
                <w:webHidden/>
              </w:rPr>
              <w:instrText xml:space="preserve"> PAGEREF _Toc107578123 \h </w:instrText>
            </w:r>
            <w:r w:rsidR="00D55122">
              <w:rPr>
                <w:noProof/>
                <w:webHidden/>
              </w:rPr>
            </w:r>
            <w:r w:rsidR="00D55122">
              <w:rPr>
                <w:noProof/>
                <w:webHidden/>
              </w:rPr>
              <w:fldChar w:fldCharType="separate"/>
            </w:r>
            <w:r w:rsidR="00D55122">
              <w:rPr>
                <w:noProof/>
                <w:webHidden/>
              </w:rPr>
              <w:t>12</w:t>
            </w:r>
            <w:r w:rsidR="00D55122">
              <w:rPr>
                <w:noProof/>
                <w:webHidden/>
              </w:rPr>
              <w:fldChar w:fldCharType="end"/>
            </w:r>
          </w:hyperlink>
        </w:p>
        <w:p w14:paraId="7C3C2E6D" w14:textId="2D9CC969" w:rsidR="00D55122" w:rsidRDefault="003C6F4D">
          <w:pPr>
            <w:pStyle w:val="TOC1"/>
            <w:rPr>
              <w:rFonts w:asciiTheme="minorHAnsi" w:eastAsiaTheme="minorEastAsia" w:hAnsiTheme="minorHAnsi" w:cstheme="minorBidi"/>
              <w:caps w:val="0"/>
              <w:noProof/>
              <w:sz w:val="22"/>
              <w:szCs w:val="22"/>
              <w:lang w:val="en-US"/>
            </w:rPr>
          </w:pPr>
          <w:hyperlink w:anchor="_Toc107578124" w:history="1">
            <w:r w:rsidR="00D55122" w:rsidRPr="00263763">
              <w:rPr>
                <w:rStyle w:val="Hyperlink"/>
                <w:noProof/>
              </w:rPr>
              <w:t>I.5 STRAIPSNIS. MOKĖJIMAMS SKIRTA BANKO SĄSKAITA</w:t>
            </w:r>
            <w:r w:rsidR="00D55122">
              <w:rPr>
                <w:noProof/>
                <w:webHidden/>
              </w:rPr>
              <w:tab/>
            </w:r>
            <w:r w:rsidR="00D55122">
              <w:rPr>
                <w:noProof/>
                <w:webHidden/>
              </w:rPr>
              <w:fldChar w:fldCharType="begin"/>
            </w:r>
            <w:r w:rsidR="00D55122">
              <w:rPr>
                <w:noProof/>
                <w:webHidden/>
              </w:rPr>
              <w:instrText xml:space="preserve"> PAGEREF _Toc107578124 \h </w:instrText>
            </w:r>
            <w:r w:rsidR="00D55122">
              <w:rPr>
                <w:noProof/>
                <w:webHidden/>
              </w:rPr>
            </w:r>
            <w:r w:rsidR="00D55122">
              <w:rPr>
                <w:noProof/>
                <w:webHidden/>
              </w:rPr>
              <w:fldChar w:fldCharType="separate"/>
            </w:r>
            <w:r w:rsidR="00D55122">
              <w:rPr>
                <w:noProof/>
                <w:webHidden/>
              </w:rPr>
              <w:t>12</w:t>
            </w:r>
            <w:r w:rsidR="00D55122">
              <w:rPr>
                <w:noProof/>
                <w:webHidden/>
              </w:rPr>
              <w:fldChar w:fldCharType="end"/>
            </w:r>
          </w:hyperlink>
        </w:p>
        <w:p w14:paraId="2BCE0D4D" w14:textId="13DBB0F4" w:rsidR="00D55122" w:rsidRDefault="003C6F4D">
          <w:pPr>
            <w:pStyle w:val="TOC1"/>
            <w:rPr>
              <w:rFonts w:asciiTheme="minorHAnsi" w:eastAsiaTheme="minorEastAsia" w:hAnsiTheme="minorHAnsi" w:cstheme="minorBidi"/>
              <w:caps w:val="0"/>
              <w:noProof/>
              <w:sz w:val="22"/>
              <w:szCs w:val="22"/>
              <w:lang w:val="en-US"/>
            </w:rPr>
          </w:pPr>
          <w:hyperlink w:anchor="_Toc107578125" w:history="1">
            <w:r w:rsidR="00D55122" w:rsidRPr="00263763">
              <w:rPr>
                <w:rStyle w:val="Hyperlink"/>
                <w:noProof/>
              </w:rPr>
              <w:t>I.6 STRAIPSNIS. DUOMENŲ VALDYTOJAS IR ŠALIŲ KONTAKTINIAI DUOMENYS</w:t>
            </w:r>
            <w:r w:rsidR="00D55122">
              <w:rPr>
                <w:noProof/>
                <w:webHidden/>
              </w:rPr>
              <w:tab/>
            </w:r>
            <w:r w:rsidR="00D55122">
              <w:rPr>
                <w:noProof/>
                <w:webHidden/>
              </w:rPr>
              <w:fldChar w:fldCharType="begin"/>
            </w:r>
            <w:r w:rsidR="00D55122">
              <w:rPr>
                <w:noProof/>
                <w:webHidden/>
              </w:rPr>
              <w:instrText xml:space="preserve"> PAGEREF _Toc107578125 \h </w:instrText>
            </w:r>
            <w:r w:rsidR="00D55122">
              <w:rPr>
                <w:noProof/>
                <w:webHidden/>
              </w:rPr>
            </w:r>
            <w:r w:rsidR="00D55122">
              <w:rPr>
                <w:noProof/>
                <w:webHidden/>
              </w:rPr>
              <w:fldChar w:fldCharType="separate"/>
            </w:r>
            <w:r w:rsidR="00D55122">
              <w:rPr>
                <w:noProof/>
                <w:webHidden/>
              </w:rPr>
              <w:t>12</w:t>
            </w:r>
            <w:r w:rsidR="00D55122">
              <w:rPr>
                <w:noProof/>
                <w:webHidden/>
              </w:rPr>
              <w:fldChar w:fldCharType="end"/>
            </w:r>
          </w:hyperlink>
        </w:p>
        <w:p w14:paraId="1AE106A3" w14:textId="1B01EA58" w:rsidR="00D55122" w:rsidRDefault="003C6F4D">
          <w:pPr>
            <w:pStyle w:val="TOC3"/>
            <w:tabs>
              <w:tab w:val="left" w:pos="1916"/>
            </w:tabs>
            <w:rPr>
              <w:rFonts w:asciiTheme="minorHAnsi" w:eastAsiaTheme="minorEastAsia" w:hAnsiTheme="minorHAnsi" w:cstheme="minorBidi"/>
              <w:noProof/>
              <w:sz w:val="22"/>
              <w:szCs w:val="22"/>
              <w:lang w:val="en-US"/>
            </w:rPr>
          </w:pPr>
          <w:hyperlink w:anchor="_Toc107578126" w:history="1">
            <w:r w:rsidR="00D55122" w:rsidRPr="00263763">
              <w:rPr>
                <w:rStyle w:val="Hyperlink"/>
                <w:noProof/>
              </w:rPr>
              <w:t>I.6.1</w:t>
            </w:r>
            <w:r w:rsidR="00D55122">
              <w:rPr>
                <w:rFonts w:asciiTheme="minorHAnsi" w:eastAsiaTheme="minorEastAsia" w:hAnsiTheme="minorHAnsi" w:cstheme="minorBidi"/>
                <w:noProof/>
                <w:sz w:val="22"/>
                <w:szCs w:val="22"/>
                <w:lang w:val="en-US"/>
              </w:rPr>
              <w:tab/>
            </w:r>
            <w:r w:rsidR="00D55122" w:rsidRPr="00263763">
              <w:rPr>
                <w:rStyle w:val="Hyperlink"/>
                <w:noProof/>
              </w:rPr>
              <w:t>Duomenų valdytojas</w:t>
            </w:r>
            <w:r w:rsidR="00D55122">
              <w:rPr>
                <w:noProof/>
                <w:webHidden/>
              </w:rPr>
              <w:tab/>
            </w:r>
            <w:r w:rsidR="00D55122">
              <w:rPr>
                <w:noProof/>
                <w:webHidden/>
              </w:rPr>
              <w:fldChar w:fldCharType="begin"/>
            </w:r>
            <w:r w:rsidR="00D55122">
              <w:rPr>
                <w:noProof/>
                <w:webHidden/>
              </w:rPr>
              <w:instrText xml:space="preserve"> PAGEREF _Toc107578126 \h </w:instrText>
            </w:r>
            <w:r w:rsidR="00D55122">
              <w:rPr>
                <w:noProof/>
                <w:webHidden/>
              </w:rPr>
            </w:r>
            <w:r w:rsidR="00D55122">
              <w:rPr>
                <w:noProof/>
                <w:webHidden/>
              </w:rPr>
              <w:fldChar w:fldCharType="separate"/>
            </w:r>
            <w:r w:rsidR="00D55122">
              <w:rPr>
                <w:noProof/>
                <w:webHidden/>
              </w:rPr>
              <w:t>12</w:t>
            </w:r>
            <w:r w:rsidR="00D55122">
              <w:rPr>
                <w:noProof/>
                <w:webHidden/>
              </w:rPr>
              <w:fldChar w:fldCharType="end"/>
            </w:r>
          </w:hyperlink>
        </w:p>
        <w:p w14:paraId="45C84F84" w14:textId="06BDF1EC" w:rsidR="00D55122" w:rsidRDefault="003C6F4D">
          <w:pPr>
            <w:pStyle w:val="TOC3"/>
            <w:tabs>
              <w:tab w:val="left" w:pos="1916"/>
            </w:tabs>
            <w:rPr>
              <w:rFonts w:asciiTheme="minorHAnsi" w:eastAsiaTheme="minorEastAsia" w:hAnsiTheme="minorHAnsi" w:cstheme="minorBidi"/>
              <w:noProof/>
              <w:sz w:val="22"/>
              <w:szCs w:val="22"/>
              <w:lang w:val="en-US"/>
            </w:rPr>
          </w:pPr>
          <w:hyperlink w:anchor="_Toc107578127" w:history="1">
            <w:r w:rsidR="00D55122" w:rsidRPr="00263763">
              <w:rPr>
                <w:rStyle w:val="Hyperlink"/>
                <w:noProof/>
              </w:rPr>
              <w:t>I.6.2</w:t>
            </w:r>
            <w:r w:rsidR="00D55122">
              <w:rPr>
                <w:rFonts w:asciiTheme="minorHAnsi" w:eastAsiaTheme="minorEastAsia" w:hAnsiTheme="minorHAnsi" w:cstheme="minorBidi"/>
                <w:noProof/>
                <w:sz w:val="22"/>
                <w:szCs w:val="22"/>
                <w:lang w:val="en-US"/>
              </w:rPr>
              <w:tab/>
            </w:r>
            <w:r w:rsidR="00D55122" w:rsidRPr="00263763">
              <w:rPr>
                <w:rStyle w:val="Hyperlink"/>
                <w:noProof/>
              </w:rPr>
              <w:t>NA kontaktiniai duomenys</w:t>
            </w:r>
            <w:r w:rsidR="00D55122">
              <w:rPr>
                <w:noProof/>
                <w:webHidden/>
              </w:rPr>
              <w:tab/>
            </w:r>
            <w:r w:rsidR="00D55122">
              <w:rPr>
                <w:noProof/>
                <w:webHidden/>
              </w:rPr>
              <w:fldChar w:fldCharType="begin"/>
            </w:r>
            <w:r w:rsidR="00D55122">
              <w:rPr>
                <w:noProof/>
                <w:webHidden/>
              </w:rPr>
              <w:instrText xml:space="preserve"> PAGEREF _Toc107578127 \h </w:instrText>
            </w:r>
            <w:r w:rsidR="00D55122">
              <w:rPr>
                <w:noProof/>
                <w:webHidden/>
              </w:rPr>
            </w:r>
            <w:r w:rsidR="00D55122">
              <w:rPr>
                <w:noProof/>
                <w:webHidden/>
              </w:rPr>
              <w:fldChar w:fldCharType="separate"/>
            </w:r>
            <w:r w:rsidR="00D55122">
              <w:rPr>
                <w:noProof/>
                <w:webHidden/>
              </w:rPr>
              <w:t>13</w:t>
            </w:r>
            <w:r w:rsidR="00D55122">
              <w:rPr>
                <w:noProof/>
                <w:webHidden/>
              </w:rPr>
              <w:fldChar w:fldCharType="end"/>
            </w:r>
          </w:hyperlink>
        </w:p>
        <w:p w14:paraId="309F4C8D" w14:textId="684052F9" w:rsidR="00D55122" w:rsidRDefault="003C6F4D">
          <w:pPr>
            <w:pStyle w:val="TOC3"/>
            <w:tabs>
              <w:tab w:val="left" w:pos="1916"/>
            </w:tabs>
            <w:rPr>
              <w:rFonts w:asciiTheme="minorHAnsi" w:eastAsiaTheme="minorEastAsia" w:hAnsiTheme="minorHAnsi" w:cstheme="minorBidi"/>
              <w:noProof/>
              <w:sz w:val="22"/>
              <w:szCs w:val="22"/>
              <w:lang w:val="en-US"/>
            </w:rPr>
          </w:pPr>
          <w:hyperlink w:anchor="_Toc107578128" w:history="1">
            <w:r w:rsidR="00D55122" w:rsidRPr="00263763">
              <w:rPr>
                <w:rStyle w:val="Hyperlink"/>
                <w:noProof/>
              </w:rPr>
              <w:t>I.6.3</w:t>
            </w:r>
            <w:r w:rsidR="00D55122">
              <w:rPr>
                <w:rFonts w:asciiTheme="minorHAnsi" w:eastAsiaTheme="minorEastAsia" w:hAnsiTheme="minorHAnsi" w:cstheme="minorBidi"/>
                <w:noProof/>
                <w:sz w:val="22"/>
                <w:szCs w:val="22"/>
                <w:lang w:val="en-US"/>
              </w:rPr>
              <w:tab/>
            </w:r>
            <w:r w:rsidR="00D55122" w:rsidRPr="00263763">
              <w:rPr>
                <w:rStyle w:val="Hyperlink"/>
                <w:noProof/>
              </w:rPr>
              <w:t>Gavėjo kontaktiniai duomenys</w:t>
            </w:r>
            <w:r w:rsidR="00D55122">
              <w:rPr>
                <w:noProof/>
                <w:webHidden/>
              </w:rPr>
              <w:tab/>
            </w:r>
            <w:r w:rsidR="00D55122">
              <w:rPr>
                <w:noProof/>
                <w:webHidden/>
              </w:rPr>
              <w:fldChar w:fldCharType="begin"/>
            </w:r>
            <w:r w:rsidR="00D55122">
              <w:rPr>
                <w:noProof/>
                <w:webHidden/>
              </w:rPr>
              <w:instrText xml:space="preserve"> PAGEREF _Toc107578128 \h </w:instrText>
            </w:r>
            <w:r w:rsidR="00D55122">
              <w:rPr>
                <w:noProof/>
                <w:webHidden/>
              </w:rPr>
            </w:r>
            <w:r w:rsidR="00D55122">
              <w:rPr>
                <w:noProof/>
                <w:webHidden/>
              </w:rPr>
              <w:fldChar w:fldCharType="separate"/>
            </w:r>
            <w:r w:rsidR="00D55122">
              <w:rPr>
                <w:noProof/>
                <w:webHidden/>
              </w:rPr>
              <w:t>13</w:t>
            </w:r>
            <w:r w:rsidR="00D55122">
              <w:rPr>
                <w:noProof/>
                <w:webHidden/>
              </w:rPr>
              <w:fldChar w:fldCharType="end"/>
            </w:r>
          </w:hyperlink>
        </w:p>
        <w:p w14:paraId="6A488FA4" w14:textId="5E8F1872" w:rsidR="00D55122" w:rsidRDefault="003C6F4D">
          <w:pPr>
            <w:pStyle w:val="TOC1"/>
            <w:rPr>
              <w:rFonts w:asciiTheme="minorHAnsi" w:eastAsiaTheme="minorEastAsia" w:hAnsiTheme="minorHAnsi" w:cstheme="minorBidi"/>
              <w:caps w:val="0"/>
              <w:noProof/>
              <w:sz w:val="22"/>
              <w:szCs w:val="22"/>
              <w:lang w:val="en-US"/>
            </w:rPr>
          </w:pPr>
          <w:hyperlink w:anchor="_Toc107578129" w:history="1">
            <w:r w:rsidR="00D55122" w:rsidRPr="00263763">
              <w:rPr>
                <w:rStyle w:val="Hyperlink"/>
                <w:noProof/>
              </w:rPr>
              <w:t>I.7 STRAIPSNIS. PAPILDOMA NUOSTATA DĖL GAVĖJO VYKDOMO ASMENS DUOMENŲ TVARKYMO</w:t>
            </w:r>
            <w:r w:rsidR="00D55122">
              <w:rPr>
                <w:noProof/>
                <w:webHidden/>
              </w:rPr>
              <w:tab/>
            </w:r>
            <w:r w:rsidR="00D55122">
              <w:rPr>
                <w:noProof/>
                <w:webHidden/>
              </w:rPr>
              <w:fldChar w:fldCharType="begin"/>
            </w:r>
            <w:r w:rsidR="00D55122">
              <w:rPr>
                <w:noProof/>
                <w:webHidden/>
              </w:rPr>
              <w:instrText xml:space="preserve"> PAGEREF _Toc107578129 \h </w:instrText>
            </w:r>
            <w:r w:rsidR="00D55122">
              <w:rPr>
                <w:noProof/>
                <w:webHidden/>
              </w:rPr>
            </w:r>
            <w:r w:rsidR="00D55122">
              <w:rPr>
                <w:noProof/>
                <w:webHidden/>
              </w:rPr>
              <w:fldChar w:fldCharType="separate"/>
            </w:r>
            <w:r w:rsidR="00D55122">
              <w:rPr>
                <w:noProof/>
                <w:webHidden/>
              </w:rPr>
              <w:t>14</w:t>
            </w:r>
            <w:r w:rsidR="00D55122">
              <w:rPr>
                <w:noProof/>
                <w:webHidden/>
              </w:rPr>
              <w:fldChar w:fldCharType="end"/>
            </w:r>
          </w:hyperlink>
        </w:p>
        <w:p w14:paraId="7CBB7F49" w14:textId="7E646737" w:rsidR="00D55122" w:rsidRDefault="003C6F4D">
          <w:pPr>
            <w:pStyle w:val="TOC3"/>
            <w:tabs>
              <w:tab w:val="left" w:pos="1916"/>
            </w:tabs>
            <w:rPr>
              <w:rFonts w:asciiTheme="minorHAnsi" w:eastAsiaTheme="minorEastAsia" w:hAnsiTheme="minorHAnsi" w:cstheme="minorBidi"/>
              <w:noProof/>
              <w:sz w:val="22"/>
              <w:szCs w:val="22"/>
              <w:lang w:val="en-US"/>
            </w:rPr>
          </w:pPr>
          <w:hyperlink w:anchor="_Toc107578130" w:history="1">
            <w:r w:rsidR="00D55122" w:rsidRPr="00263763">
              <w:rPr>
                <w:rStyle w:val="Hyperlink"/>
                <w:noProof/>
              </w:rPr>
              <w:t>I.7.1</w:t>
            </w:r>
            <w:r w:rsidR="00D55122">
              <w:rPr>
                <w:rFonts w:asciiTheme="minorHAnsi" w:eastAsiaTheme="minorEastAsia" w:hAnsiTheme="minorHAnsi" w:cstheme="minorBidi"/>
                <w:noProof/>
                <w:sz w:val="22"/>
                <w:szCs w:val="22"/>
                <w:lang w:val="en-US"/>
              </w:rPr>
              <w:tab/>
            </w:r>
            <w:r w:rsidR="00D55122" w:rsidRPr="00263763">
              <w:rPr>
                <w:rStyle w:val="Hyperlink"/>
                <w:noProof/>
              </w:rPr>
              <w:t>Pareiga teikti ataskaitas</w:t>
            </w:r>
            <w:r w:rsidR="00D55122">
              <w:rPr>
                <w:noProof/>
                <w:webHidden/>
              </w:rPr>
              <w:tab/>
            </w:r>
            <w:r w:rsidR="00D55122">
              <w:rPr>
                <w:noProof/>
                <w:webHidden/>
              </w:rPr>
              <w:fldChar w:fldCharType="begin"/>
            </w:r>
            <w:r w:rsidR="00D55122">
              <w:rPr>
                <w:noProof/>
                <w:webHidden/>
              </w:rPr>
              <w:instrText xml:space="preserve"> PAGEREF _Toc107578130 \h </w:instrText>
            </w:r>
            <w:r w:rsidR="00D55122">
              <w:rPr>
                <w:noProof/>
                <w:webHidden/>
              </w:rPr>
            </w:r>
            <w:r w:rsidR="00D55122">
              <w:rPr>
                <w:noProof/>
                <w:webHidden/>
              </w:rPr>
              <w:fldChar w:fldCharType="separate"/>
            </w:r>
            <w:r w:rsidR="00D55122">
              <w:rPr>
                <w:noProof/>
                <w:webHidden/>
              </w:rPr>
              <w:t>14</w:t>
            </w:r>
            <w:r w:rsidR="00D55122">
              <w:rPr>
                <w:noProof/>
                <w:webHidden/>
              </w:rPr>
              <w:fldChar w:fldCharType="end"/>
            </w:r>
          </w:hyperlink>
        </w:p>
        <w:p w14:paraId="400F0543" w14:textId="6AE3D94A" w:rsidR="00D55122" w:rsidRDefault="003C6F4D">
          <w:pPr>
            <w:pStyle w:val="TOC3"/>
            <w:tabs>
              <w:tab w:val="left" w:pos="1916"/>
            </w:tabs>
            <w:rPr>
              <w:rFonts w:asciiTheme="minorHAnsi" w:eastAsiaTheme="minorEastAsia" w:hAnsiTheme="minorHAnsi" w:cstheme="minorBidi"/>
              <w:noProof/>
              <w:sz w:val="22"/>
              <w:szCs w:val="22"/>
              <w:lang w:val="en-US"/>
            </w:rPr>
          </w:pPr>
          <w:hyperlink w:anchor="_Toc107578131" w:history="1">
            <w:r w:rsidR="00D55122" w:rsidRPr="00263763">
              <w:rPr>
                <w:rStyle w:val="Hyperlink"/>
                <w:noProof/>
              </w:rPr>
              <w:t>I.7.2</w:t>
            </w:r>
            <w:r w:rsidR="00D55122">
              <w:rPr>
                <w:rFonts w:asciiTheme="minorHAnsi" w:eastAsiaTheme="minorEastAsia" w:hAnsiTheme="minorHAnsi" w:cstheme="minorBidi"/>
                <w:noProof/>
                <w:sz w:val="22"/>
                <w:szCs w:val="22"/>
                <w:lang w:val="en-US"/>
              </w:rPr>
              <w:tab/>
            </w:r>
            <w:r w:rsidR="00D55122" w:rsidRPr="00263763">
              <w:rPr>
                <w:rStyle w:val="Hyperlink"/>
                <w:noProof/>
              </w:rPr>
              <w:t>DALYVIŲ INFORMAVIMAS APIE JŲ ASMENS DUOMENŲ TVARKYMĄ</w:t>
            </w:r>
            <w:r w:rsidR="00D55122">
              <w:rPr>
                <w:noProof/>
                <w:webHidden/>
              </w:rPr>
              <w:tab/>
            </w:r>
            <w:r w:rsidR="00D55122">
              <w:rPr>
                <w:noProof/>
                <w:webHidden/>
              </w:rPr>
              <w:fldChar w:fldCharType="begin"/>
            </w:r>
            <w:r w:rsidR="00D55122">
              <w:rPr>
                <w:noProof/>
                <w:webHidden/>
              </w:rPr>
              <w:instrText xml:space="preserve"> PAGEREF _Toc107578131 \h </w:instrText>
            </w:r>
            <w:r w:rsidR="00D55122">
              <w:rPr>
                <w:noProof/>
                <w:webHidden/>
              </w:rPr>
            </w:r>
            <w:r w:rsidR="00D55122">
              <w:rPr>
                <w:noProof/>
                <w:webHidden/>
              </w:rPr>
              <w:fldChar w:fldCharType="separate"/>
            </w:r>
            <w:r w:rsidR="00D55122">
              <w:rPr>
                <w:noProof/>
                <w:webHidden/>
              </w:rPr>
              <w:t>14</w:t>
            </w:r>
            <w:r w:rsidR="00D55122">
              <w:rPr>
                <w:noProof/>
                <w:webHidden/>
              </w:rPr>
              <w:fldChar w:fldCharType="end"/>
            </w:r>
          </w:hyperlink>
        </w:p>
        <w:p w14:paraId="1B49AAFE" w14:textId="554CEF85" w:rsidR="00D55122" w:rsidRDefault="003C6F4D">
          <w:pPr>
            <w:pStyle w:val="TOC1"/>
            <w:rPr>
              <w:rFonts w:asciiTheme="minorHAnsi" w:eastAsiaTheme="minorEastAsia" w:hAnsiTheme="minorHAnsi" w:cstheme="minorBidi"/>
              <w:caps w:val="0"/>
              <w:noProof/>
              <w:sz w:val="22"/>
              <w:szCs w:val="22"/>
              <w:lang w:val="en-US"/>
            </w:rPr>
          </w:pPr>
          <w:hyperlink w:anchor="_Toc107578132" w:history="1">
            <w:r w:rsidR="00D55122" w:rsidRPr="00263763">
              <w:rPr>
                <w:rStyle w:val="Hyperlink"/>
                <w:noProof/>
              </w:rPr>
              <w:t>I.8 STRAIPSNIS. DALYVIŲ APSAUGA IR SAUGUMAS</w:t>
            </w:r>
            <w:r w:rsidR="00D55122">
              <w:rPr>
                <w:noProof/>
                <w:webHidden/>
              </w:rPr>
              <w:tab/>
            </w:r>
            <w:r w:rsidR="00D55122">
              <w:rPr>
                <w:noProof/>
                <w:webHidden/>
              </w:rPr>
              <w:fldChar w:fldCharType="begin"/>
            </w:r>
            <w:r w:rsidR="00D55122">
              <w:rPr>
                <w:noProof/>
                <w:webHidden/>
              </w:rPr>
              <w:instrText xml:space="preserve"> PAGEREF _Toc107578132 \h </w:instrText>
            </w:r>
            <w:r w:rsidR="00D55122">
              <w:rPr>
                <w:noProof/>
                <w:webHidden/>
              </w:rPr>
            </w:r>
            <w:r w:rsidR="00D55122">
              <w:rPr>
                <w:noProof/>
                <w:webHidden/>
              </w:rPr>
              <w:fldChar w:fldCharType="separate"/>
            </w:r>
            <w:r w:rsidR="00D55122">
              <w:rPr>
                <w:noProof/>
                <w:webHidden/>
              </w:rPr>
              <w:t>14</w:t>
            </w:r>
            <w:r w:rsidR="00D55122">
              <w:rPr>
                <w:noProof/>
                <w:webHidden/>
              </w:rPr>
              <w:fldChar w:fldCharType="end"/>
            </w:r>
          </w:hyperlink>
        </w:p>
        <w:p w14:paraId="743188F8" w14:textId="5955B9E2" w:rsidR="00D55122" w:rsidRDefault="003C6F4D">
          <w:pPr>
            <w:pStyle w:val="TOC1"/>
            <w:rPr>
              <w:rFonts w:asciiTheme="minorHAnsi" w:eastAsiaTheme="minorEastAsia" w:hAnsiTheme="minorHAnsi" w:cstheme="minorBidi"/>
              <w:caps w:val="0"/>
              <w:noProof/>
              <w:sz w:val="22"/>
              <w:szCs w:val="22"/>
              <w:lang w:val="en-US"/>
            </w:rPr>
          </w:pPr>
          <w:hyperlink w:anchor="_Toc107578133" w:history="1">
            <w:r w:rsidR="00D55122" w:rsidRPr="00263763">
              <w:rPr>
                <w:rStyle w:val="Hyperlink"/>
                <w:noProof/>
              </w:rPr>
              <w:t>I.9 STRAIPSNIS. PAPILDOMOS NUOSTATOS DĖL ANKSTESNIŲ TEISIŲ IR REZULTATŲ (ĮSKAITANT INTELEKTINĖS IR PRAMONINĖS NUOSAVYBĖS TEISES) NAUDOJIMO</w:t>
            </w:r>
            <w:r w:rsidR="00D55122">
              <w:rPr>
                <w:noProof/>
                <w:webHidden/>
              </w:rPr>
              <w:tab/>
            </w:r>
            <w:r w:rsidR="00D55122">
              <w:rPr>
                <w:noProof/>
                <w:webHidden/>
              </w:rPr>
              <w:fldChar w:fldCharType="begin"/>
            </w:r>
            <w:r w:rsidR="00D55122">
              <w:rPr>
                <w:noProof/>
                <w:webHidden/>
              </w:rPr>
              <w:instrText xml:space="preserve"> PAGEREF _Toc107578133 \h </w:instrText>
            </w:r>
            <w:r w:rsidR="00D55122">
              <w:rPr>
                <w:noProof/>
                <w:webHidden/>
              </w:rPr>
            </w:r>
            <w:r w:rsidR="00D55122">
              <w:rPr>
                <w:noProof/>
                <w:webHidden/>
              </w:rPr>
              <w:fldChar w:fldCharType="separate"/>
            </w:r>
            <w:r w:rsidR="00D55122">
              <w:rPr>
                <w:noProof/>
                <w:webHidden/>
              </w:rPr>
              <w:t>14</w:t>
            </w:r>
            <w:r w:rsidR="00D55122">
              <w:rPr>
                <w:noProof/>
                <w:webHidden/>
              </w:rPr>
              <w:fldChar w:fldCharType="end"/>
            </w:r>
          </w:hyperlink>
        </w:p>
        <w:p w14:paraId="2B6082DD" w14:textId="066369EC" w:rsidR="00D55122" w:rsidRDefault="003C6F4D">
          <w:pPr>
            <w:pStyle w:val="TOC1"/>
            <w:rPr>
              <w:rFonts w:asciiTheme="minorHAnsi" w:eastAsiaTheme="minorEastAsia" w:hAnsiTheme="minorHAnsi" w:cstheme="minorBidi"/>
              <w:caps w:val="0"/>
              <w:noProof/>
              <w:sz w:val="22"/>
              <w:szCs w:val="22"/>
              <w:lang w:val="en-US"/>
            </w:rPr>
          </w:pPr>
          <w:hyperlink w:anchor="_Toc107578134" w:history="1">
            <w:r w:rsidR="00D55122" w:rsidRPr="00263763">
              <w:rPr>
                <w:rStyle w:val="Hyperlink"/>
                <w:noProof/>
              </w:rPr>
              <w:t>I.10 STRAIPSNIS. IT PRIEMONIŲ NAUDOJIMAS</w:t>
            </w:r>
            <w:r w:rsidR="00D55122">
              <w:rPr>
                <w:noProof/>
                <w:webHidden/>
              </w:rPr>
              <w:tab/>
            </w:r>
            <w:r w:rsidR="00D55122">
              <w:rPr>
                <w:noProof/>
                <w:webHidden/>
              </w:rPr>
              <w:fldChar w:fldCharType="begin"/>
            </w:r>
            <w:r w:rsidR="00D55122">
              <w:rPr>
                <w:noProof/>
                <w:webHidden/>
              </w:rPr>
              <w:instrText xml:space="preserve"> PAGEREF _Toc107578134 \h </w:instrText>
            </w:r>
            <w:r w:rsidR="00D55122">
              <w:rPr>
                <w:noProof/>
                <w:webHidden/>
              </w:rPr>
            </w:r>
            <w:r w:rsidR="00D55122">
              <w:rPr>
                <w:noProof/>
                <w:webHidden/>
              </w:rPr>
              <w:fldChar w:fldCharType="separate"/>
            </w:r>
            <w:r w:rsidR="00D55122">
              <w:rPr>
                <w:noProof/>
                <w:webHidden/>
              </w:rPr>
              <w:t>15</w:t>
            </w:r>
            <w:r w:rsidR="00D55122">
              <w:rPr>
                <w:noProof/>
                <w:webHidden/>
              </w:rPr>
              <w:fldChar w:fldCharType="end"/>
            </w:r>
          </w:hyperlink>
        </w:p>
        <w:p w14:paraId="30891A00" w14:textId="28B18020" w:rsidR="00D55122" w:rsidRDefault="003C6F4D">
          <w:pPr>
            <w:pStyle w:val="TOC2"/>
            <w:tabs>
              <w:tab w:val="left" w:pos="1916"/>
            </w:tabs>
            <w:rPr>
              <w:rFonts w:asciiTheme="minorHAnsi" w:eastAsiaTheme="minorEastAsia" w:hAnsiTheme="minorHAnsi" w:cstheme="minorBidi"/>
              <w:noProof/>
              <w:sz w:val="22"/>
              <w:szCs w:val="22"/>
              <w:lang w:val="en-US"/>
            </w:rPr>
          </w:pPr>
          <w:hyperlink w:anchor="_Toc107578135" w:history="1">
            <w:r w:rsidR="00D55122" w:rsidRPr="00263763">
              <w:rPr>
                <w:rStyle w:val="Hyperlink"/>
                <w:noProof/>
              </w:rPr>
              <w:t>I.10.1</w:t>
            </w:r>
            <w:r w:rsidR="00D55122">
              <w:rPr>
                <w:rFonts w:asciiTheme="minorHAnsi" w:eastAsiaTheme="minorEastAsia" w:hAnsiTheme="minorHAnsi" w:cstheme="minorBidi"/>
                <w:noProof/>
                <w:sz w:val="22"/>
                <w:szCs w:val="22"/>
                <w:lang w:val="en-US"/>
              </w:rPr>
              <w:tab/>
            </w:r>
            <w:r w:rsidR="00D55122" w:rsidRPr="00263763">
              <w:rPr>
                <w:rStyle w:val="Hyperlink"/>
                <w:noProof/>
              </w:rPr>
              <w:t>Europos solidarumo korpuso ataskaitų teikimo ir valdymo priemonė (dotacijos gavėjo modulis)</w:t>
            </w:r>
            <w:r w:rsidR="00D55122">
              <w:rPr>
                <w:noProof/>
                <w:webHidden/>
              </w:rPr>
              <w:tab/>
            </w:r>
            <w:r w:rsidR="00D55122">
              <w:rPr>
                <w:noProof/>
                <w:webHidden/>
              </w:rPr>
              <w:fldChar w:fldCharType="begin"/>
            </w:r>
            <w:r w:rsidR="00D55122">
              <w:rPr>
                <w:noProof/>
                <w:webHidden/>
              </w:rPr>
              <w:instrText xml:space="preserve"> PAGEREF _Toc107578135 \h </w:instrText>
            </w:r>
            <w:r w:rsidR="00D55122">
              <w:rPr>
                <w:noProof/>
                <w:webHidden/>
              </w:rPr>
            </w:r>
            <w:r w:rsidR="00D55122">
              <w:rPr>
                <w:noProof/>
                <w:webHidden/>
              </w:rPr>
              <w:fldChar w:fldCharType="separate"/>
            </w:r>
            <w:r w:rsidR="00D55122">
              <w:rPr>
                <w:noProof/>
                <w:webHidden/>
              </w:rPr>
              <w:t>15</w:t>
            </w:r>
            <w:r w:rsidR="00D55122">
              <w:rPr>
                <w:noProof/>
                <w:webHidden/>
              </w:rPr>
              <w:fldChar w:fldCharType="end"/>
            </w:r>
          </w:hyperlink>
        </w:p>
        <w:p w14:paraId="16B730F1" w14:textId="578B7F78" w:rsidR="00D55122" w:rsidRDefault="003C6F4D">
          <w:pPr>
            <w:pStyle w:val="TOC2"/>
            <w:tabs>
              <w:tab w:val="left" w:pos="1916"/>
            </w:tabs>
            <w:rPr>
              <w:rFonts w:asciiTheme="minorHAnsi" w:eastAsiaTheme="minorEastAsia" w:hAnsiTheme="minorHAnsi" w:cstheme="minorBidi"/>
              <w:noProof/>
              <w:sz w:val="22"/>
              <w:szCs w:val="22"/>
              <w:lang w:val="en-US"/>
            </w:rPr>
          </w:pPr>
          <w:hyperlink w:anchor="_Toc107578136" w:history="1">
            <w:r w:rsidR="00D55122" w:rsidRPr="00263763">
              <w:rPr>
                <w:rStyle w:val="Hyperlink"/>
                <w:noProof/>
              </w:rPr>
              <w:t>I.10.2</w:t>
            </w:r>
            <w:r w:rsidR="00D55122">
              <w:rPr>
                <w:rFonts w:asciiTheme="minorHAnsi" w:eastAsiaTheme="minorEastAsia" w:hAnsiTheme="minorHAnsi" w:cstheme="minorBidi"/>
                <w:noProof/>
                <w:sz w:val="22"/>
                <w:szCs w:val="22"/>
                <w:lang w:val="en-US"/>
              </w:rPr>
              <w:tab/>
            </w:r>
            <w:r w:rsidR="00D55122" w:rsidRPr="00263763">
              <w:rPr>
                <w:rStyle w:val="Hyperlink"/>
                <w:noProof/>
              </w:rPr>
              <w:t>Europos solidarumo korpuso rezultatų platforma</w:t>
            </w:r>
            <w:r w:rsidR="00D55122">
              <w:rPr>
                <w:noProof/>
                <w:webHidden/>
              </w:rPr>
              <w:tab/>
            </w:r>
            <w:r w:rsidR="00D55122">
              <w:rPr>
                <w:noProof/>
                <w:webHidden/>
              </w:rPr>
              <w:fldChar w:fldCharType="begin"/>
            </w:r>
            <w:r w:rsidR="00D55122">
              <w:rPr>
                <w:noProof/>
                <w:webHidden/>
              </w:rPr>
              <w:instrText xml:space="preserve"> PAGEREF _Toc107578136 \h </w:instrText>
            </w:r>
            <w:r w:rsidR="00D55122">
              <w:rPr>
                <w:noProof/>
                <w:webHidden/>
              </w:rPr>
            </w:r>
            <w:r w:rsidR="00D55122">
              <w:rPr>
                <w:noProof/>
                <w:webHidden/>
              </w:rPr>
              <w:fldChar w:fldCharType="separate"/>
            </w:r>
            <w:r w:rsidR="00D55122">
              <w:rPr>
                <w:noProof/>
                <w:webHidden/>
              </w:rPr>
              <w:t>15</w:t>
            </w:r>
            <w:r w:rsidR="00D55122">
              <w:rPr>
                <w:noProof/>
                <w:webHidden/>
              </w:rPr>
              <w:fldChar w:fldCharType="end"/>
            </w:r>
          </w:hyperlink>
        </w:p>
        <w:p w14:paraId="0CDD5735" w14:textId="05651D11" w:rsidR="00D55122" w:rsidRDefault="003C6F4D">
          <w:pPr>
            <w:pStyle w:val="TOC2"/>
            <w:tabs>
              <w:tab w:val="left" w:pos="1916"/>
            </w:tabs>
            <w:rPr>
              <w:rFonts w:asciiTheme="minorHAnsi" w:eastAsiaTheme="minorEastAsia" w:hAnsiTheme="minorHAnsi" w:cstheme="minorBidi"/>
              <w:noProof/>
              <w:sz w:val="22"/>
              <w:szCs w:val="22"/>
              <w:lang w:val="en-US"/>
            </w:rPr>
          </w:pPr>
          <w:hyperlink w:anchor="_Toc107578137" w:history="1">
            <w:r w:rsidR="00D55122" w:rsidRPr="00263763">
              <w:rPr>
                <w:rStyle w:val="Hyperlink"/>
                <w:noProof/>
              </w:rPr>
              <w:t>I.10.3</w:t>
            </w:r>
            <w:r w:rsidR="00D55122">
              <w:rPr>
                <w:rFonts w:asciiTheme="minorHAnsi" w:eastAsiaTheme="minorEastAsia" w:hAnsiTheme="minorHAnsi" w:cstheme="minorBidi"/>
                <w:noProof/>
                <w:sz w:val="22"/>
                <w:szCs w:val="22"/>
                <w:lang w:val="en-US"/>
              </w:rPr>
              <w:tab/>
            </w:r>
            <w:r w:rsidR="00D55122" w:rsidRPr="00263763">
              <w:rPr>
                <w:rStyle w:val="Hyperlink"/>
                <w:noProof/>
              </w:rPr>
              <w:t>Europos solidarumo korpuso portalas</w:t>
            </w:r>
            <w:r w:rsidR="00D55122">
              <w:rPr>
                <w:noProof/>
                <w:webHidden/>
              </w:rPr>
              <w:tab/>
            </w:r>
            <w:r w:rsidR="00D55122">
              <w:rPr>
                <w:noProof/>
                <w:webHidden/>
              </w:rPr>
              <w:fldChar w:fldCharType="begin"/>
            </w:r>
            <w:r w:rsidR="00D55122">
              <w:rPr>
                <w:noProof/>
                <w:webHidden/>
              </w:rPr>
              <w:instrText xml:space="preserve"> PAGEREF _Toc107578137 \h </w:instrText>
            </w:r>
            <w:r w:rsidR="00D55122">
              <w:rPr>
                <w:noProof/>
                <w:webHidden/>
              </w:rPr>
            </w:r>
            <w:r w:rsidR="00D55122">
              <w:rPr>
                <w:noProof/>
                <w:webHidden/>
              </w:rPr>
              <w:fldChar w:fldCharType="separate"/>
            </w:r>
            <w:r w:rsidR="00D55122">
              <w:rPr>
                <w:noProof/>
                <w:webHidden/>
              </w:rPr>
              <w:t>15</w:t>
            </w:r>
            <w:r w:rsidR="00D55122">
              <w:rPr>
                <w:noProof/>
                <w:webHidden/>
              </w:rPr>
              <w:fldChar w:fldCharType="end"/>
            </w:r>
          </w:hyperlink>
        </w:p>
        <w:p w14:paraId="226754F0" w14:textId="1583DDA2" w:rsidR="00D55122" w:rsidRDefault="003C6F4D">
          <w:pPr>
            <w:pStyle w:val="TOC1"/>
            <w:rPr>
              <w:rFonts w:asciiTheme="minorHAnsi" w:eastAsiaTheme="minorEastAsia" w:hAnsiTheme="minorHAnsi" w:cstheme="minorBidi"/>
              <w:caps w:val="0"/>
              <w:noProof/>
              <w:sz w:val="22"/>
              <w:szCs w:val="22"/>
              <w:lang w:val="en-US"/>
            </w:rPr>
          </w:pPr>
          <w:hyperlink w:anchor="_Toc107578138" w:history="1">
            <w:r w:rsidR="00D55122" w:rsidRPr="00263763">
              <w:rPr>
                <w:rStyle w:val="Hyperlink"/>
                <w:noProof/>
              </w:rPr>
              <w:t>I.11 STRAIPSNIS. PAPILDOMOS NUOSTATOS DĖL SUBRANGOS</w:t>
            </w:r>
            <w:r w:rsidR="00D55122">
              <w:rPr>
                <w:noProof/>
                <w:webHidden/>
              </w:rPr>
              <w:tab/>
            </w:r>
            <w:r w:rsidR="00D55122">
              <w:rPr>
                <w:noProof/>
                <w:webHidden/>
              </w:rPr>
              <w:fldChar w:fldCharType="begin"/>
            </w:r>
            <w:r w:rsidR="00D55122">
              <w:rPr>
                <w:noProof/>
                <w:webHidden/>
              </w:rPr>
              <w:instrText xml:space="preserve"> PAGEREF _Toc107578138 \h </w:instrText>
            </w:r>
            <w:r w:rsidR="00D55122">
              <w:rPr>
                <w:noProof/>
                <w:webHidden/>
              </w:rPr>
            </w:r>
            <w:r w:rsidR="00D55122">
              <w:rPr>
                <w:noProof/>
                <w:webHidden/>
              </w:rPr>
              <w:fldChar w:fldCharType="separate"/>
            </w:r>
            <w:r w:rsidR="00D55122">
              <w:rPr>
                <w:noProof/>
                <w:webHidden/>
              </w:rPr>
              <w:t>15</w:t>
            </w:r>
            <w:r w:rsidR="00D55122">
              <w:rPr>
                <w:noProof/>
                <w:webHidden/>
              </w:rPr>
              <w:fldChar w:fldCharType="end"/>
            </w:r>
          </w:hyperlink>
        </w:p>
        <w:p w14:paraId="71323601" w14:textId="768CDDD3" w:rsidR="00D55122" w:rsidRDefault="003C6F4D">
          <w:pPr>
            <w:pStyle w:val="TOC1"/>
            <w:rPr>
              <w:rFonts w:asciiTheme="minorHAnsi" w:eastAsiaTheme="minorEastAsia" w:hAnsiTheme="minorHAnsi" w:cstheme="minorBidi"/>
              <w:caps w:val="0"/>
              <w:noProof/>
              <w:sz w:val="22"/>
              <w:szCs w:val="22"/>
              <w:lang w:val="en-US"/>
            </w:rPr>
          </w:pPr>
          <w:hyperlink w:anchor="_Toc107578139" w:history="1">
            <w:r w:rsidR="00D55122" w:rsidRPr="00263763">
              <w:rPr>
                <w:rStyle w:val="Hyperlink"/>
                <w:noProof/>
              </w:rPr>
              <w:t>I.12 STRAIPSNIS. PAPILDOMA NUOSTATA DĖL SĄJUNGOS FINANSAVIMO MATOMUMO</w:t>
            </w:r>
            <w:r w:rsidR="00D55122">
              <w:rPr>
                <w:noProof/>
                <w:webHidden/>
              </w:rPr>
              <w:tab/>
            </w:r>
            <w:r w:rsidR="00D55122">
              <w:rPr>
                <w:noProof/>
                <w:webHidden/>
              </w:rPr>
              <w:fldChar w:fldCharType="begin"/>
            </w:r>
            <w:r w:rsidR="00D55122">
              <w:rPr>
                <w:noProof/>
                <w:webHidden/>
              </w:rPr>
              <w:instrText xml:space="preserve"> PAGEREF _Toc107578139 \h </w:instrText>
            </w:r>
            <w:r w:rsidR="00D55122">
              <w:rPr>
                <w:noProof/>
                <w:webHidden/>
              </w:rPr>
            </w:r>
            <w:r w:rsidR="00D55122">
              <w:rPr>
                <w:noProof/>
                <w:webHidden/>
              </w:rPr>
              <w:fldChar w:fldCharType="separate"/>
            </w:r>
            <w:r w:rsidR="00D55122">
              <w:rPr>
                <w:noProof/>
                <w:webHidden/>
              </w:rPr>
              <w:t>16</w:t>
            </w:r>
            <w:r w:rsidR="00D55122">
              <w:rPr>
                <w:noProof/>
                <w:webHidden/>
              </w:rPr>
              <w:fldChar w:fldCharType="end"/>
            </w:r>
          </w:hyperlink>
        </w:p>
        <w:p w14:paraId="2E4EB4C2" w14:textId="76B06C87" w:rsidR="00D55122" w:rsidRDefault="003C6F4D">
          <w:pPr>
            <w:pStyle w:val="TOC1"/>
            <w:rPr>
              <w:rFonts w:asciiTheme="minorHAnsi" w:eastAsiaTheme="minorEastAsia" w:hAnsiTheme="minorHAnsi" w:cstheme="minorBidi"/>
              <w:caps w:val="0"/>
              <w:noProof/>
              <w:sz w:val="22"/>
              <w:szCs w:val="22"/>
              <w:lang w:val="en-US"/>
            </w:rPr>
          </w:pPr>
          <w:hyperlink w:anchor="_Toc107578140" w:history="1">
            <w:r w:rsidR="00D55122" w:rsidRPr="00263763">
              <w:rPr>
                <w:rStyle w:val="Hyperlink"/>
                <w:noProof/>
              </w:rPr>
              <w:t>I.13 STRAIPSNIS. PAPILDOMOS NUOSTATOS DĖL DALYVIŲ RĖMIMO</w:t>
            </w:r>
            <w:r w:rsidR="00D55122">
              <w:rPr>
                <w:noProof/>
                <w:webHidden/>
              </w:rPr>
              <w:tab/>
            </w:r>
            <w:r w:rsidR="00D55122">
              <w:rPr>
                <w:noProof/>
                <w:webHidden/>
              </w:rPr>
              <w:fldChar w:fldCharType="begin"/>
            </w:r>
            <w:r w:rsidR="00D55122">
              <w:rPr>
                <w:noProof/>
                <w:webHidden/>
              </w:rPr>
              <w:instrText xml:space="preserve"> PAGEREF _Toc107578140 \h </w:instrText>
            </w:r>
            <w:r w:rsidR="00D55122">
              <w:rPr>
                <w:noProof/>
                <w:webHidden/>
              </w:rPr>
            </w:r>
            <w:r w:rsidR="00D55122">
              <w:rPr>
                <w:noProof/>
                <w:webHidden/>
              </w:rPr>
              <w:fldChar w:fldCharType="separate"/>
            </w:r>
            <w:r w:rsidR="00D55122">
              <w:rPr>
                <w:noProof/>
                <w:webHidden/>
              </w:rPr>
              <w:t>16</w:t>
            </w:r>
            <w:r w:rsidR="00D55122">
              <w:rPr>
                <w:noProof/>
                <w:webHidden/>
              </w:rPr>
              <w:fldChar w:fldCharType="end"/>
            </w:r>
          </w:hyperlink>
        </w:p>
        <w:p w14:paraId="1C793BA3" w14:textId="4364DBF0" w:rsidR="00D55122" w:rsidRDefault="003C6F4D">
          <w:pPr>
            <w:pStyle w:val="TOC1"/>
            <w:rPr>
              <w:rFonts w:asciiTheme="minorHAnsi" w:eastAsiaTheme="minorEastAsia" w:hAnsiTheme="minorHAnsi" w:cstheme="minorBidi"/>
              <w:caps w:val="0"/>
              <w:noProof/>
              <w:sz w:val="22"/>
              <w:szCs w:val="22"/>
              <w:lang w:val="en-US"/>
            </w:rPr>
          </w:pPr>
          <w:hyperlink w:anchor="_Toc107578141" w:history="1">
            <w:r w:rsidR="00D55122" w:rsidRPr="00263763">
              <w:rPr>
                <w:rStyle w:val="Hyperlink"/>
                <w:noProof/>
              </w:rPr>
              <w:t>I.14 STRAIPSNIS. MAŽIAU GALIMYBIŲ TURINČIŲ DALYVIŲ ĮTRAUKTIES RĖMIMO NUOSTATOS</w:t>
            </w:r>
            <w:r w:rsidR="00D55122">
              <w:rPr>
                <w:noProof/>
                <w:webHidden/>
              </w:rPr>
              <w:tab/>
            </w:r>
            <w:r w:rsidR="00D55122">
              <w:rPr>
                <w:noProof/>
                <w:webHidden/>
              </w:rPr>
              <w:fldChar w:fldCharType="begin"/>
            </w:r>
            <w:r w:rsidR="00D55122">
              <w:rPr>
                <w:noProof/>
                <w:webHidden/>
              </w:rPr>
              <w:instrText xml:space="preserve"> PAGEREF _Toc107578141 \h </w:instrText>
            </w:r>
            <w:r w:rsidR="00D55122">
              <w:rPr>
                <w:noProof/>
                <w:webHidden/>
              </w:rPr>
            </w:r>
            <w:r w:rsidR="00D55122">
              <w:rPr>
                <w:noProof/>
                <w:webHidden/>
              </w:rPr>
              <w:fldChar w:fldCharType="separate"/>
            </w:r>
            <w:r w:rsidR="00D55122">
              <w:rPr>
                <w:noProof/>
                <w:webHidden/>
              </w:rPr>
              <w:t>16</w:t>
            </w:r>
            <w:r w:rsidR="00D55122">
              <w:rPr>
                <w:noProof/>
                <w:webHidden/>
              </w:rPr>
              <w:fldChar w:fldCharType="end"/>
            </w:r>
          </w:hyperlink>
        </w:p>
        <w:p w14:paraId="71F1A8CA" w14:textId="23CF50AD" w:rsidR="00D55122" w:rsidRDefault="003C6F4D">
          <w:pPr>
            <w:pStyle w:val="TOC1"/>
            <w:rPr>
              <w:rFonts w:asciiTheme="minorHAnsi" w:eastAsiaTheme="minorEastAsia" w:hAnsiTheme="minorHAnsi" w:cstheme="minorBidi"/>
              <w:caps w:val="0"/>
              <w:noProof/>
              <w:sz w:val="22"/>
              <w:szCs w:val="22"/>
              <w:lang w:val="en-US"/>
            </w:rPr>
          </w:pPr>
          <w:hyperlink w:anchor="_Toc107578142" w:history="1">
            <w:r w:rsidR="00D55122" w:rsidRPr="00263763">
              <w:rPr>
                <w:rStyle w:val="Hyperlink"/>
                <w:noProof/>
              </w:rPr>
              <w:t>I.15 STRAIPSNIS. SPECIALIOSIOS NUOSTATOS DĖL BIUDŽETO LĖŠŲ PERKĖLIMO</w:t>
            </w:r>
            <w:r w:rsidR="00D55122">
              <w:rPr>
                <w:noProof/>
                <w:webHidden/>
              </w:rPr>
              <w:tab/>
            </w:r>
            <w:r w:rsidR="00D55122">
              <w:rPr>
                <w:noProof/>
                <w:webHidden/>
              </w:rPr>
              <w:fldChar w:fldCharType="begin"/>
            </w:r>
            <w:r w:rsidR="00D55122">
              <w:rPr>
                <w:noProof/>
                <w:webHidden/>
              </w:rPr>
              <w:instrText xml:space="preserve"> PAGEREF _Toc107578142 \h </w:instrText>
            </w:r>
            <w:r w:rsidR="00D55122">
              <w:rPr>
                <w:noProof/>
                <w:webHidden/>
              </w:rPr>
            </w:r>
            <w:r w:rsidR="00D55122">
              <w:rPr>
                <w:noProof/>
                <w:webHidden/>
              </w:rPr>
              <w:fldChar w:fldCharType="separate"/>
            </w:r>
            <w:r w:rsidR="00D55122">
              <w:rPr>
                <w:noProof/>
                <w:webHidden/>
              </w:rPr>
              <w:t>16</w:t>
            </w:r>
            <w:r w:rsidR="00D55122">
              <w:rPr>
                <w:noProof/>
                <w:webHidden/>
              </w:rPr>
              <w:fldChar w:fldCharType="end"/>
            </w:r>
          </w:hyperlink>
        </w:p>
        <w:p w14:paraId="5EE53FA6" w14:textId="41A24E77" w:rsidR="00D55122" w:rsidRDefault="003C6F4D">
          <w:pPr>
            <w:pStyle w:val="TOC1"/>
            <w:rPr>
              <w:rFonts w:asciiTheme="minorHAnsi" w:eastAsiaTheme="minorEastAsia" w:hAnsiTheme="minorHAnsi" w:cstheme="minorBidi"/>
              <w:caps w:val="0"/>
              <w:noProof/>
              <w:sz w:val="22"/>
              <w:szCs w:val="22"/>
              <w:lang w:val="en-US"/>
            </w:rPr>
          </w:pPr>
          <w:hyperlink w:anchor="_Toc107578143" w:history="1">
            <w:r w:rsidR="00D55122" w:rsidRPr="00263763">
              <w:rPr>
                <w:rStyle w:val="Hyperlink"/>
                <w:noProof/>
              </w:rPr>
              <w:t>I.16 STRAIPSNIS. II PRIEDE NURODYTOS JAUNIMO GRUPĖS SUDĖTIES PAKEITIMAS</w:t>
            </w:r>
            <w:r w:rsidR="00D55122">
              <w:rPr>
                <w:noProof/>
                <w:webHidden/>
              </w:rPr>
              <w:tab/>
            </w:r>
            <w:r w:rsidR="00D55122">
              <w:rPr>
                <w:noProof/>
                <w:webHidden/>
              </w:rPr>
              <w:fldChar w:fldCharType="begin"/>
            </w:r>
            <w:r w:rsidR="00D55122">
              <w:rPr>
                <w:noProof/>
                <w:webHidden/>
              </w:rPr>
              <w:instrText xml:space="preserve"> PAGEREF _Toc107578143 \h </w:instrText>
            </w:r>
            <w:r w:rsidR="00D55122">
              <w:rPr>
                <w:noProof/>
                <w:webHidden/>
              </w:rPr>
            </w:r>
            <w:r w:rsidR="00D55122">
              <w:rPr>
                <w:noProof/>
                <w:webHidden/>
              </w:rPr>
              <w:fldChar w:fldCharType="separate"/>
            </w:r>
            <w:r w:rsidR="00D55122">
              <w:rPr>
                <w:noProof/>
                <w:webHidden/>
              </w:rPr>
              <w:t>17</w:t>
            </w:r>
            <w:r w:rsidR="00D55122">
              <w:rPr>
                <w:noProof/>
                <w:webHidden/>
              </w:rPr>
              <w:fldChar w:fldCharType="end"/>
            </w:r>
          </w:hyperlink>
        </w:p>
        <w:p w14:paraId="1BC79D4C" w14:textId="6263FA2B" w:rsidR="00D55122" w:rsidRDefault="003C6F4D">
          <w:pPr>
            <w:pStyle w:val="TOC1"/>
            <w:rPr>
              <w:rFonts w:asciiTheme="minorHAnsi" w:eastAsiaTheme="minorEastAsia" w:hAnsiTheme="minorHAnsi" w:cstheme="minorBidi"/>
              <w:caps w:val="0"/>
              <w:noProof/>
              <w:sz w:val="22"/>
              <w:szCs w:val="22"/>
              <w:lang w:val="en-US"/>
            </w:rPr>
          </w:pPr>
          <w:hyperlink w:anchor="_Toc107578144" w:history="1">
            <w:r w:rsidR="00D55122" w:rsidRPr="00263763">
              <w:rPr>
                <w:rStyle w:val="Hyperlink"/>
                <w:noProof/>
              </w:rPr>
              <w:t>I.17 STRAIPSNIS. PAPILDOMA NUOSTATA DĖL STEBĖSENOS IR VERTINIMO</w:t>
            </w:r>
            <w:r w:rsidR="00D55122">
              <w:rPr>
                <w:noProof/>
                <w:webHidden/>
              </w:rPr>
              <w:tab/>
            </w:r>
            <w:r w:rsidR="00D55122">
              <w:rPr>
                <w:noProof/>
                <w:webHidden/>
              </w:rPr>
              <w:fldChar w:fldCharType="begin"/>
            </w:r>
            <w:r w:rsidR="00D55122">
              <w:rPr>
                <w:noProof/>
                <w:webHidden/>
              </w:rPr>
              <w:instrText xml:space="preserve"> PAGEREF _Toc107578144 \h </w:instrText>
            </w:r>
            <w:r w:rsidR="00D55122">
              <w:rPr>
                <w:noProof/>
                <w:webHidden/>
              </w:rPr>
            </w:r>
            <w:r w:rsidR="00D55122">
              <w:rPr>
                <w:noProof/>
                <w:webHidden/>
              </w:rPr>
              <w:fldChar w:fldCharType="separate"/>
            </w:r>
            <w:r w:rsidR="00D55122">
              <w:rPr>
                <w:noProof/>
                <w:webHidden/>
              </w:rPr>
              <w:t>17</w:t>
            </w:r>
            <w:r w:rsidR="00D55122">
              <w:rPr>
                <w:noProof/>
                <w:webHidden/>
              </w:rPr>
              <w:fldChar w:fldCharType="end"/>
            </w:r>
          </w:hyperlink>
        </w:p>
        <w:p w14:paraId="53EA25DB" w14:textId="7605E37A" w:rsidR="00D55122" w:rsidRDefault="003C6F4D">
          <w:pPr>
            <w:pStyle w:val="TOC1"/>
            <w:rPr>
              <w:rFonts w:asciiTheme="minorHAnsi" w:eastAsiaTheme="minorEastAsia" w:hAnsiTheme="minorHAnsi" w:cstheme="minorBidi"/>
              <w:caps w:val="0"/>
              <w:noProof/>
              <w:sz w:val="22"/>
              <w:szCs w:val="22"/>
              <w:lang w:val="en-US"/>
            </w:rPr>
          </w:pPr>
          <w:hyperlink w:anchor="_Toc107578145" w:history="1">
            <w:r w:rsidR="00D55122" w:rsidRPr="00263763">
              <w:rPr>
                <w:rStyle w:val="Hyperlink"/>
                <w:noProof/>
              </w:rPr>
              <w:t>I.XX STRAIPSNIS. PAŽYMĖJIMAS „YOUTHPASS“, DALYVAVIMO PAŽYMĖJIMAS</w:t>
            </w:r>
            <w:r w:rsidR="00D55122">
              <w:rPr>
                <w:noProof/>
                <w:webHidden/>
              </w:rPr>
              <w:tab/>
            </w:r>
            <w:r w:rsidR="00D55122">
              <w:rPr>
                <w:noProof/>
                <w:webHidden/>
              </w:rPr>
              <w:fldChar w:fldCharType="begin"/>
            </w:r>
            <w:r w:rsidR="00D55122">
              <w:rPr>
                <w:noProof/>
                <w:webHidden/>
              </w:rPr>
              <w:instrText xml:space="preserve"> PAGEREF _Toc107578145 \h </w:instrText>
            </w:r>
            <w:r w:rsidR="00D55122">
              <w:rPr>
                <w:noProof/>
                <w:webHidden/>
              </w:rPr>
            </w:r>
            <w:r w:rsidR="00D55122">
              <w:rPr>
                <w:noProof/>
                <w:webHidden/>
              </w:rPr>
              <w:fldChar w:fldCharType="separate"/>
            </w:r>
            <w:r w:rsidR="00D55122">
              <w:rPr>
                <w:noProof/>
                <w:webHidden/>
              </w:rPr>
              <w:t>18</w:t>
            </w:r>
            <w:r w:rsidR="00D55122">
              <w:rPr>
                <w:noProof/>
                <w:webHidden/>
              </w:rPr>
              <w:fldChar w:fldCharType="end"/>
            </w:r>
          </w:hyperlink>
        </w:p>
        <w:p w14:paraId="58BB13B4" w14:textId="23273BEC" w:rsidR="00D55122" w:rsidRDefault="003C6F4D">
          <w:pPr>
            <w:pStyle w:val="TOC1"/>
            <w:rPr>
              <w:rFonts w:asciiTheme="minorHAnsi" w:eastAsiaTheme="minorEastAsia" w:hAnsiTheme="minorHAnsi" w:cstheme="minorBidi"/>
              <w:caps w:val="0"/>
              <w:noProof/>
              <w:sz w:val="22"/>
              <w:szCs w:val="22"/>
              <w:lang w:val="en-US"/>
            </w:rPr>
          </w:pPr>
          <w:hyperlink w:anchor="_Toc107578146" w:history="1">
            <w:r w:rsidR="00D55122" w:rsidRPr="00263763">
              <w:rPr>
                <w:rStyle w:val="Hyperlink"/>
                <w:noProof/>
              </w:rPr>
              <w:t>I.XX STRAIPSNIS. BET KOKIOS PAPILDOMOS PAGAL NACIONALINĘ TEISĘ PRIVALOMOS NUOSTATOS</w:t>
            </w:r>
            <w:r w:rsidR="00D55122">
              <w:rPr>
                <w:noProof/>
                <w:webHidden/>
              </w:rPr>
              <w:tab/>
            </w:r>
            <w:r w:rsidR="00D55122">
              <w:rPr>
                <w:noProof/>
                <w:webHidden/>
              </w:rPr>
              <w:fldChar w:fldCharType="begin"/>
            </w:r>
            <w:r w:rsidR="00D55122">
              <w:rPr>
                <w:noProof/>
                <w:webHidden/>
              </w:rPr>
              <w:instrText xml:space="preserve"> PAGEREF _Toc107578146 \h </w:instrText>
            </w:r>
            <w:r w:rsidR="00D55122">
              <w:rPr>
                <w:noProof/>
                <w:webHidden/>
              </w:rPr>
            </w:r>
            <w:r w:rsidR="00D55122">
              <w:rPr>
                <w:noProof/>
                <w:webHidden/>
              </w:rPr>
              <w:fldChar w:fldCharType="separate"/>
            </w:r>
            <w:r w:rsidR="00D55122">
              <w:rPr>
                <w:noProof/>
                <w:webHidden/>
              </w:rPr>
              <w:t>18</w:t>
            </w:r>
            <w:r w:rsidR="00D55122">
              <w:rPr>
                <w:noProof/>
                <w:webHidden/>
              </w:rPr>
              <w:fldChar w:fldCharType="end"/>
            </w:r>
          </w:hyperlink>
        </w:p>
        <w:p w14:paraId="1BEFD5BB" w14:textId="351EB944" w:rsidR="00D55122" w:rsidRDefault="003C6F4D">
          <w:pPr>
            <w:pStyle w:val="TOC1"/>
            <w:rPr>
              <w:rFonts w:asciiTheme="minorHAnsi" w:eastAsiaTheme="minorEastAsia" w:hAnsiTheme="minorHAnsi" w:cstheme="minorBidi"/>
              <w:caps w:val="0"/>
              <w:noProof/>
              <w:sz w:val="22"/>
              <w:szCs w:val="22"/>
              <w:lang w:val="en-US"/>
            </w:rPr>
          </w:pPr>
          <w:hyperlink w:anchor="_Toc107578147" w:history="1">
            <w:r w:rsidR="00D55122" w:rsidRPr="00263763">
              <w:rPr>
                <w:rStyle w:val="Hyperlink"/>
                <w:noProof/>
              </w:rPr>
              <w:t>I.XX STRAIPSNIS. SPECIALIOS I PRIEDO BENDRŲJŲ NUOSTATŲ IŠIMTYS</w:t>
            </w:r>
            <w:r w:rsidR="00D55122">
              <w:rPr>
                <w:noProof/>
                <w:webHidden/>
              </w:rPr>
              <w:tab/>
            </w:r>
            <w:r w:rsidR="00D55122">
              <w:rPr>
                <w:noProof/>
                <w:webHidden/>
              </w:rPr>
              <w:fldChar w:fldCharType="begin"/>
            </w:r>
            <w:r w:rsidR="00D55122">
              <w:rPr>
                <w:noProof/>
                <w:webHidden/>
              </w:rPr>
              <w:instrText xml:space="preserve"> PAGEREF _Toc107578147 \h </w:instrText>
            </w:r>
            <w:r w:rsidR="00D55122">
              <w:rPr>
                <w:noProof/>
                <w:webHidden/>
              </w:rPr>
            </w:r>
            <w:r w:rsidR="00D55122">
              <w:rPr>
                <w:noProof/>
                <w:webHidden/>
              </w:rPr>
              <w:fldChar w:fldCharType="separate"/>
            </w:r>
            <w:r w:rsidR="00D55122">
              <w:rPr>
                <w:noProof/>
                <w:webHidden/>
              </w:rPr>
              <w:t>18</w:t>
            </w:r>
            <w:r w:rsidR="00D55122">
              <w:rPr>
                <w:noProof/>
                <w:webHidden/>
              </w:rPr>
              <w:fldChar w:fldCharType="end"/>
            </w:r>
          </w:hyperlink>
        </w:p>
        <w:p w14:paraId="60E4CB42" w14:textId="12793420" w:rsidR="00113A54" w:rsidRPr="00510C97" w:rsidRDefault="00113A54" w:rsidP="00510C97">
          <w:pPr>
            <w:tabs>
              <w:tab w:val="left" w:pos="1560"/>
              <w:tab w:val="left" w:pos="1843"/>
            </w:tabs>
            <w:rPr>
              <w:rFonts w:ascii="Times New Roman" w:hAnsi="Times New Roman"/>
            </w:rPr>
          </w:pPr>
          <w:r>
            <w:rPr>
              <w:rFonts w:ascii="Times New Roman" w:hAnsi="Times New Roman"/>
              <w:b/>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9A18E8">
      <w:pPr>
        <w:rPr>
          <w:rFonts w:ascii="Times New Roman" w:hAnsi="Times New Roman"/>
        </w:rPr>
      </w:pPr>
    </w:p>
    <w:p w14:paraId="60E4CB4D" w14:textId="62A340DB" w:rsidR="00366448" w:rsidRDefault="00366448">
      <w:pPr>
        <w:suppressAutoHyphens w:val="0"/>
        <w:rPr>
          <w:rFonts w:ascii="Times New Roman" w:hAnsi="Times New Roman"/>
        </w:rPr>
      </w:pPr>
      <w:r>
        <w:br w:type="page"/>
      </w:r>
    </w:p>
    <w:p w14:paraId="68332D4A" w14:textId="64E66121" w:rsidR="00DE173F" w:rsidRPr="00510C97" w:rsidRDefault="00DE173F" w:rsidP="003932D9">
      <w:pPr>
        <w:suppressAutoHyphens w:val="0"/>
        <w:rPr>
          <w:rFonts w:ascii="Times New Roman" w:hAnsi="Times New Roman"/>
        </w:rPr>
      </w:pPr>
    </w:p>
    <w:p w14:paraId="60E4CB55" w14:textId="7C7128B0" w:rsidR="00F10621" w:rsidRPr="00480642" w:rsidRDefault="00D55122" w:rsidP="00712B34">
      <w:pPr>
        <w:pStyle w:val="Heading1"/>
      </w:pPr>
      <w:bookmarkStart w:id="0" w:name="_Toc107578108"/>
      <w:r>
        <w:t>i</w:t>
      </w:r>
      <w:r w:rsidR="00712B34">
        <w:t>.</w:t>
      </w:r>
      <w:r w:rsidR="00712B34" w:rsidRPr="003C6F4D">
        <w:t>1</w:t>
      </w:r>
      <w:r w:rsidR="00712B34">
        <w:t xml:space="preserve"> STRAIPSNIS. </w:t>
      </w:r>
      <w:r w:rsidR="00F90D7E">
        <w:t>SUTARTIES DALYKAS</w:t>
      </w:r>
      <w:bookmarkEnd w:id="0"/>
      <w:r w:rsidR="00F90D7E">
        <w:t xml:space="preserve"> </w:t>
      </w:r>
    </w:p>
    <w:p w14:paraId="33579285" w14:textId="380BCE7D" w:rsidR="006F377E" w:rsidRDefault="00BF305F" w:rsidP="003F7876">
      <w:pPr>
        <w:pStyle w:val="paragraph"/>
        <w:ind w:left="0" w:firstLine="0"/>
      </w:pPr>
      <w:r>
        <w:rPr>
          <w:rStyle w:val="SubtitleChar"/>
          <w:rFonts w:ascii="Times New Roman" w:hAnsi="Times New Roman"/>
          <w:b w:val="0"/>
          <w:i w:val="0"/>
        </w:rPr>
        <w:t>1.1.1</w:t>
      </w:r>
      <w:r>
        <w:t xml:space="preserve"> NA nusprendė Sutarties specialiosiose sąlygose, bendrosiose sąlygose ir kituose prieduose išdėstytomis sąlygomis skirti dotaciją </w:t>
      </w:r>
    </w:p>
    <w:p w14:paraId="6F2F1B4E" w14:textId="77777777" w:rsidR="00F27AAD" w:rsidRDefault="00F27AAD" w:rsidP="003F7876">
      <w:pPr>
        <w:pStyle w:val="paragraph"/>
        <w:ind w:left="0" w:firstLine="0"/>
      </w:pPr>
    </w:p>
    <w:p w14:paraId="56A55116" w14:textId="7F70B096" w:rsidR="006F377E" w:rsidRPr="003F7876" w:rsidRDefault="00F10621" w:rsidP="003F7876">
      <w:pPr>
        <w:pStyle w:val="paragraph"/>
        <w:numPr>
          <w:ilvl w:val="1"/>
          <w:numId w:val="0"/>
        </w:numPr>
        <w:ind w:left="720"/>
        <w:rPr>
          <w:b/>
          <w:bCs/>
        </w:rPr>
      </w:pPr>
      <w:r>
        <w:rPr>
          <w:highlight w:val="lightGray"/>
        </w:rPr>
        <w:t>[</w:t>
      </w:r>
      <w:r>
        <w:rPr>
          <w:highlight w:val="cyan"/>
        </w:rPr>
        <w:t>Pavadinimą turintiems projektams:</w:t>
      </w:r>
      <w:r>
        <w:t xml:space="preserve"> Projekto pavadinimas: </w:t>
      </w:r>
      <w:r>
        <w:rPr>
          <w:highlight w:val="lightGray"/>
        </w:rPr>
        <w:t>[</w:t>
      </w:r>
      <w:r>
        <w:rPr>
          <w:b/>
          <w:highlight w:val="lightGray"/>
        </w:rPr>
        <w:t>įrašyti projekto pavadinimą pusjuodžiu šriftu]</w:t>
      </w:r>
      <w:r>
        <w:rPr>
          <w:highlight w:val="cyan"/>
        </w:rPr>
        <w:t>]</w:t>
      </w:r>
    </w:p>
    <w:p w14:paraId="60E4CB56" w14:textId="1FF22520" w:rsidR="00F10621" w:rsidRPr="00480642" w:rsidRDefault="006F377E" w:rsidP="003F7876">
      <w:pPr>
        <w:pStyle w:val="paragraph"/>
        <w:numPr>
          <w:ilvl w:val="1"/>
          <w:numId w:val="0"/>
        </w:numPr>
        <w:ind w:left="720"/>
      </w:pPr>
      <w:r>
        <w:rPr>
          <w:b/>
          <w:highlight w:val="lightGray"/>
        </w:rPr>
        <w:t>[</w:t>
      </w:r>
      <w:r>
        <w:rPr>
          <w:b/>
          <w:highlight w:val="cyan"/>
        </w:rPr>
        <w:t>Pavadinimo neturintiems projektams:</w:t>
      </w:r>
      <w:r>
        <w:rPr>
          <w:b/>
        </w:rPr>
        <w:t xml:space="preserve"> </w:t>
      </w:r>
      <w:r>
        <w:t>Projektas:</w:t>
      </w:r>
      <w:r>
        <w:rPr>
          <w:b/>
        </w:rPr>
        <w:t xml:space="preserve"> </w:t>
      </w:r>
      <w:r>
        <w:rPr>
          <w:highlight w:val="lightGray"/>
        </w:rPr>
        <w:t>[</w:t>
      </w:r>
      <w:r>
        <w:rPr>
          <w:b/>
          <w:highlight w:val="lightGray"/>
        </w:rPr>
        <w:t>įrašyti projekto kodą pusjuodžiu šriftu]</w:t>
      </w:r>
      <w:r>
        <w:rPr>
          <w:highlight w:val="cyan"/>
        </w:rPr>
        <w:t xml:space="preserve"> ]</w:t>
      </w:r>
      <w:r>
        <w:t xml:space="preserve"> pagal Europos solidarumo korpuso programą, savanoriškos veiklos projektai, kaip apibūdinta II priede.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1A4174AF" w14:textId="2786EE28" w:rsidR="00F20273" w:rsidRDefault="00BF305F" w:rsidP="003F7876">
      <w:pPr>
        <w:pStyle w:val="paragraph"/>
        <w:ind w:left="0" w:firstLine="0"/>
      </w:pPr>
      <w:r>
        <w:t>1.1.2</w:t>
      </w:r>
      <w:r>
        <w:rPr>
          <w:rStyle w:val="SubtitleChar"/>
          <w:rFonts w:ascii="Times New Roman" w:hAnsi="Times New Roman"/>
          <w:b w:val="0"/>
          <w:i w:val="0"/>
        </w:rPr>
        <w:t xml:space="preserve"> </w:t>
      </w:r>
      <w:r>
        <w:t xml:space="preserve">Pasirašydamas Sutartį gavėjas sutinka gauti dotaciją ir savo atsakomybe įgyvendinti projektą. </w:t>
      </w:r>
    </w:p>
    <w:p w14:paraId="60E4CB59" w14:textId="77777777" w:rsidR="00F10621" w:rsidRPr="00480642" w:rsidRDefault="00F10621" w:rsidP="00510C97">
      <w:pPr>
        <w:spacing w:after="0" w:line="240" w:lineRule="auto"/>
        <w:ind w:hanging="720"/>
        <w:jc w:val="both"/>
        <w:rPr>
          <w:rFonts w:ascii="Times New Roman" w:hAnsi="Times New Roman"/>
          <w:sz w:val="24"/>
          <w:szCs w:val="24"/>
        </w:rPr>
      </w:pPr>
    </w:p>
    <w:p w14:paraId="60E4CB5C" w14:textId="4C401E00" w:rsidR="00F10621" w:rsidRPr="003F7876" w:rsidRDefault="00F10621" w:rsidP="003F7876">
      <w:pPr>
        <w:suppressAutoHyphens w:val="0"/>
        <w:spacing w:after="0" w:line="240" w:lineRule="auto"/>
        <w:ind w:left="720"/>
        <w:jc w:val="both"/>
        <w:rPr>
          <w:rFonts w:ascii="Times New Roman" w:eastAsia="Times New Roman" w:hAnsi="Times New Roman"/>
          <w:sz w:val="24"/>
          <w:szCs w:val="24"/>
        </w:rPr>
      </w:pPr>
      <w:r>
        <w:rPr>
          <w:rFonts w:ascii="Times New Roman" w:hAnsi="Times New Roman"/>
          <w:i/>
          <w:sz w:val="24"/>
          <w:shd w:val="clear" w:color="auto" w:fill="D9D9D9" w:themeFill="background1" w:themeFillShade="D9"/>
        </w:rPr>
        <w:t>[</w:t>
      </w:r>
      <w:r>
        <w:rPr>
          <w:rFonts w:ascii="Times New Roman" w:hAnsi="Times New Roman"/>
          <w:i/>
          <w:iCs/>
          <w:sz w:val="24"/>
          <w:shd w:val="clear" w:color="auto" w:fill="D9D9D9" w:themeFill="background1" w:themeFillShade="D9"/>
        </w:rPr>
        <w:t>Vadovaujančios organizacijos kokybės ženklą turinčių gavėjų atveju užpildo NA</w:t>
      </w:r>
      <w:r>
        <w:rPr>
          <w:rFonts w:ascii="Times New Roman" w:hAnsi="Times New Roman"/>
          <w:i/>
          <w:sz w:val="24"/>
          <w:shd w:val="clear" w:color="auto" w:fill="D9D9D9" w:themeFill="background1" w:themeFillShade="D9"/>
        </w:rPr>
        <w:t>]</w:t>
      </w:r>
      <w:r>
        <w:rPr>
          <w:rFonts w:ascii="Times New Roman" w:hAnsi="Times New Roman"/>
          <w:sz w:val="24"/>
        </w:rPr>
        <w:t>[Gavėjas laikosi taikytinų kokybės standartų ir kitų taisyklių, taikomų jo kokybės ženklui].</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15B0CFFE" w:rsidR="00F10621" w:rsidRPr="00480642" w:rsidRDefault="00D55122" w:rsidP="00712B34">
      <w:pPr>
        <w:pStyle w:val="Heading1"/>
      </w:pPr>
      <w:bookmarkStart w:id="1" w:name="_Toc107578109"/>
      <w:r>
        <w:t>I</w:t>
      </w:r>
      <w:r w:rsidR="00712B34">
        <w:t xml:space="preserve">.2 STRAIPSNIS. </w:t>
      </w:r>
      <w:r w:rsidR="00F10621">
        <w:t>SUTARTIES ĮSIGALIOJIMAS IR ĮGYVENDINIMO LAIKOTARPIS</w:t>
      </w:r>
      <w:bookmarkEnd w:id="1"/>
    </w:p>
    <w:p w14:paraId="60E4CB60" w14:textId="003E1F8A" w:rsidR="00F10621" w:rsidRPr="00F27AAD" w:rsidRDefault="00F27AAD" w:rsidP="003F7876">
      <w:pPr>
        <w:tabs>
          <w:tab w:val="left" w:pos="709"/>
        </w:tabs>
        <w:spacing w:after="0" w:line="240" w:lineRule="auto"/>
        <w:jc w:val="both"/>
      </w:pPr>
      <w:r>
        <w:rPr>
          <w:rStyle w:val="SubtitleChar"/>
          <w:rFonts w:ascii="Times New Roman" w:hAnsi="Times New Roman"/>
          <w:i w:val="0"/>
        </w:rPr>
        <w:t>1.2.1</w:t>
      </w:r>
      <w:r>
        <w:rPr>
          <w:rStyle w:val="SubtitleChar"/>
          <w:rFonts w:ascii="Times New Roman" w:hAnsi="Times New Roman"/>
          <w:b w:val="0"/>
          <w:i w:val="0"/>
        </w:rPr>
        <w:t xml:space="preserve"> </w:t>
      </w:r>
      <w:r>
        <w:rPr>
          <w:rFonts w:ascii="Times New Roman" w:hAnsi="Times New Roman"/>
          <w:snapToGrid w:val="0"/>
          <w:sz w:val="24"/>
        </w:rPr>
        <w:t>Sutartis įsigalioja tą dieną, kurią ją pasirašo paskutinė iš jos šalių.</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7E6B2A7A" w:rsidR="00F10621" w:rsidRPr="006236C7" w:rsidRDefault="00F27AAD" w:rsidP="003F7876">
      <w:pPr>
        <w:tabs>
          <w:tab w:val="left" w:pos="709"/>
        </w:tabs>
        <w:spacing w:after="0" w:line="240" w:lineRule="auto"/>
        <w:jc w:val="both"/>
        <w:rPr>
          <w:iCs/>
        </w:rPr>
      </w:pPr>
      <w:r>
        <w:rPr>
          <w:rStyle w:val="paragraphpartIIChar"/>
          <w:rFonts w:eastAsia="Calibri"/>
        </w:rPr>
        <w:t>1.2.2</w:t>
      </w:r>
      <w:r>
        <w:rPr>
          <w:rFonts w:ascii="Times New Roman" w:hAnsi="Times New Roman"/>
          <w:sz w:val="24"/>
        </w:rPr>
        <w:t xml:space="preserve"> </w:t>
      </w:r>
      <w:r>
        <w:rPr>
          <w:rFonts w:ascii="Times New Roman" w:hAnsi="Times New Roman"/>
          <w:i/>
          <w:snapToGrid w:val="0"/>
          <w:sz w:val="24"/>
        </w:rPr>
        <w:t xml:space="preserve">Projektas </w:t>
      </w:r>
      <w:r>
        <w:rPr>
          <w:rFonts w:ascii="Times New Roman" w:hAnsi="Times New Roman"/>
          <w:snapToGrid w:val="0"/>
          <w:sz w:val="24"/>
        </w:rPr>
        <w:t xml:space="preserve">įgyvendinamas </w:t>
      </w:r>
      <w:r>
        <w:rPr>
          <w:rFonts w:ascii="Times New Roman" w:hAnsi="Times New Roman"/>
          <w:sz w:val="24"/>
        </w:rPr>
        <w:t xml:space="preserve"> [įrašyti skaičių] [</w:t>
      </w:r>
      <w:r>
        <w:rPr>
          <w:rFonts w:ascii="Times New Roman" w:hAnsi="Times New Roman"/>
          <w:sz w:val="24"/>
          <w:highlight w:val="lightGray"/>
        </w:rPr>
        <w:t>…</w:t>
      </w:r>
      <w:r>
        <w:rPr>
          <w:rFonts w:ascii="Times New Roman" w:hAnsi="Times New Roman"/>
          <w:sz w:val="24"/>
        </w:rPr>
        <w:t>] mėn., pradedant [įrašyti datą]</w:t>
      </w:r>
      <w:r>
        <w:rPr>
          <w:rStyle w:val="FootnoteReference"/>
          <w:rFonts w:ascii="Times New Roman" w:hAnsi="Times New Roman"/>
          <w:sz w:val="24"/>
          <w:szCs w:val="24"/>
        </w:rPr>
        <w:footnoteReference w:id="3"/>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iki [įrašyti datą] [</w:t>
      </w:r>
      <w:r>
        <w:rPr>
          <w:rFonts w:ascii="Times New Roman" w:hAnsi="Times New Roman"/>
          <w:sz w:val="24"/>
          <w:highlight w:val="lightGray"/>
        </w:rPr>
        <w:t>…</w:t>
      </w:r>
      <w:r>
        <w:rPr>
          <w:rFonts w:ascii="Times New Roman" w:hAnsi="Times New Roman"/>
          <w:sz w:val="24"/>
        </w:rPr>
        <w:t xml:space="preserve">]. </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0096594A" w:rsidR="00F10621" w:rsidRPr="00480642" w:rsidRDefault="00D55122" w:rsidP="00712B34">
      <w:pPr>
        <w:pStyle w:val="Heading1"/>
      </w:pPr>
      <w:bookmarkStart w:id="2" w:name="_Toc107578110"/>
      <w:r>
        <w:t xml:space="preserve">I.3 STRAIPSNIS. </w:t>
      </w:r>
      <w:r w:rsidR="00F10621">
        <w:t>DIDŽIAUSIA DOTACIJOS SUMA IR DOTACIJOS FORMA</w:t>
      </w:r>
      <w:bookmarkEnd w:id="2"/>
      <w:r w:rsidR="00F10621">
        <w:t xml:space="preserve"> </w:t>
      </w:r>
      <w:r w:rsidR="00F10621">
        <w:tab/>
      </w:r>
    </w:p>
    <w:p w14:paraId="60E4CB67" w14:textId="1E8AC4BC" w:rsidR="00F10621" w:rsidRPr="00712B34" w:rsidRDefault="00F10621" w:rsidP="003F7876">
      <w:pPr>
        <w:tabs>
          <w:tab w:val="left" w:pos="709"/>
        </w:tabs>
        <w:spacing w:after="0" w:line="240" w:lineRule="auto"/>
        <w:jc w:val="both"/>
        <w:rPr>
          <w:rFonts w:ascii="Times New Roman" w:hAnsi="Times New Roman"/>
          <w:b/>
          <w:bCs/>
          <w:sz w:val="24"/>
          <w:szCs w:val="24"/>
        </w:rPr>
      </w:pPr>
      <w:r>
        <w:rPr>
          <w:rStyle w:val="SubtitleChar"/>
          <w:rFonts w:ascii="Times New Roman" w:hAnsi="Times New Roman"/>
          <w:i w:val="0"/>
        </w:rPr>
        <w:t>I.3.1</w:t>
      </w:r>
      <w:r>
        <w:rPr>
          <w:rFonts w:ascii="Times New Roman" w:hAnsi="Times New Roman"/>
          <w:b/>
          <w:sz w:val="24"/>
        </w:rPr>
        <w:t xml:space="preserve"> </w:t>
      </w:r>
      <w:r>
        <w:tab/>
      </w:r>
      <w:r>
        <w:rPr>
          <w:rStyle w:val="paragraphpartIIChar"/>
          <w:rFonts w:eastAsia="Calibri"/>
          <w:b w:val="0"/>
        </w:rPr>
        <w:t xml:space="preserve">Didžiausia dotacijos suma </w:t>
      </w:r>
      <w:r w:rsidRPr="00712B34">
        <w:rPr>
          <w:rStyle w:val="paragraphpartIIChar"/>
          <w:rFonts w:eastAsia="Calibri"/>
          <w:b w:val="0"/>
        </w:rPr>
        <w:t>yra</w:t>
      </w:r>
      <w:r w:rsidRPr="00712B34">
        <w:rPr>
          <w:rFonts w:ascii="Times New Roman" w:hAnsi="Times New Roman"/>
          <w:highlight w:val="lightGray"/>
        </w:rPr>
        <w:t xml:space="preserve"> [įrašyti sumą] EUR.</w:t>
      </w:r>
    </w:p>
    <w:p w14:paraId="3BBD0F42" w14:textId="77777777" w:rsidR="008C3B63" w:rsidRPr="006236C7" w:rsidRDefault="008C3B63" w:rsidP="00510C97">
      <w:pPr>
        <w:tabs>
          <w:tab w:val="left" w:pos="709"/>
        </w:tabs>
        <w:spacing w:after="0" w:line="240" w:lineRule="auto"/>
        <w:jc w:val="both"/>
        <w:rPr>
          <w:rFonts w:ascii="Times New Roman" w:hAnsi="Times New Roman"/>
          <w:b/>
          <w:sz w:val="24"/>
          <w:szCs w:val="24"/>
        </w:rPr>
      </w:pPr>
    </w:p>
    <w:p w14:paraId="04AE5A3E" w14:textId="4DDFCE96" w:rsidR="00DC62DE" w:rsidRPr="003F7876" w:rsidRDefault="0093739F" w:rsidP="007D59C9">
      <w:pPr>
        <w:tabs>
          <w:tab w:val="left" w:pos="851"/>
        </w:tabs>
        <w:spacing w:after="0"/>
        <w:jc w:val="both"/>
        <w:rPr>
          <w:rFonts w:ascii="Times New Roman" w:hAnsi="Times New Roman"/>
          <w:sz w:val="24"/>
          <w:szCs w:val="24"/>
        </w:rPr>
      </w:pPr>
      <w:r>
        <w:rPr>
          <w:rFonts w:ascii="Times New Roman" w:hAnsi="Times New Roman"/>
          <w:b/>
          <w:sz w:val="24"/>
        </w:rPr>
        <w:t>I.3.2</w:t>
      </w:r>
      <w:r>
        <w:rPr>
          <w:rFonts w:ascii="Times New Roman" w:hAnsi="Times New Roman"/>
          <w:sz w:val="24"/>
        </w:rPr>
        <w:t xml:space="preserve"> Pagal II priede pateiktą biudžeto sąmatą ir III priede nurodytas tinkamas finansuoti išlaidas ir finansines taisykles dotacija teikiama kompensuojant tinkamas finansuoti veiklos išlaidas (toliau – tinkamų finansuoti išlaidų kompensavimas), kurios:</w:t>
      </w:r>
    </w:p>
    <w:p w14:paraId="7AEC4359" w14:textId="46FF3302" w:rsidR="00FD12AA" w:rsidRPr="00FD12AA" w:rsidRDefault="00FD12AA" w:rsidP="00490C76">
      <w:pPr>
        <w:tabs>
          <w:tab w:val="left" w:pos="567"/>
        </w:tabs>
        <w:spacing w:after="0"/>
        <w:ind w:left="1440" w:hanging="1440"/>
        <w:jc w:val="both"/>
        <w:rPr>
          <w:rFonts w:ascii="Times New Roman" w:hAnsi="Times New Roman"/>
          <w:sz w:val="24"/>
          <w:szCs w:val="24"/>
        </w:rPr>
      </w:pPr>
      <w:r>
        <w:rPr>
          <w:rFonts w:ascii="Times New Roman" w:hAnsi="Times New Roman"/>
          <w:sz w:val="24"/>
        </w:rPr>
        <w:t xml:space="preserve">              i)</w:t>
      </w:r>
      <w:r>
        <w:tab/>
      </w:r>
      <w:r>
        <w:rPr>
          <w:rFonts w:ascii="Times New Roman" w:hAnsi="Times New Roman"/>
          <w:sz w:val="24"/>
        </w:rPr>
        <w:t>buvo faktiškai patirtos (faktinių išlaidų kompensavimas) dėl papildomų išlaidų, susijusių su išimtinėmis išlaidomis, remiantis III priede nurodytomis taikytinomis taisyklėmis;</w:t>
      </w:r>
    </w:p>
    <w:p w14:paraId="5A1D1312" w14:textId="557B568A" w:rsidR="00FD12AA" w:rsidRPr="00FD12AA" w:rsidRDefault="00FD12AA" w:rsidP="00490C76">
      <w:pPr>
        <w:tabs>
          <w:tab w:val="left" w:pos="567"/>
        </w:tabs>
        <w:spacing w:after="0"/>
        <w:jc w:val="both"/>
        <w:rPr>
          <w:rFonts w:ascii="Times New Roman" w:hAnsi="Times New Roman"/>
          <w:sz w:val="24"/>
          <w:szCs w:val="24"/>
        </w:rPr>
      </w:pPr>
      <w:r>
        <w:rPr>
          <w:rFonts w:ascii="Times New Roman" w:hAnsi="Times New Roman"/>
          <w:sz w:val="24"/>
        </w:rPr>
        <w:lastRenderedPageBreak/>
        <w:t xml:space="preserve">              ii)</w:t>
      </w:r>
      <w:r>
        <w:tab/>
      </w:r>
      <w:r>
        <w:rPr>
          <w:rFonts w:ascii="Times New Roman" w:hAnsi="Times New Roman"/>
          <w:sz w:val="24"/>
        </w:rPr>
        <w:t>deklaruotos remiantis IV priede nurodytais vieneto įkainiais (vieneto įkainių kompensavimas) pagal tame pačiame priede nurodytas išlaidų kategorijas.</w:t>
      </w:r>
    </w:p>
    <w:p w14:paraId="60E4CB6C" w14:textId="77777777" w:rsidR="00F10621" w:rsidRPr="00FD12AA" w:rsidRDefault="00F10621" w:rsidP="00F10621">
      <w:pPr>
        <w:spacing w:after="0" w:line="240" w:lineRule="auto"/>
        <w:jc w:val="both"/>
        <w:rPr>
          <w:rFonts w:ascii="Times New Roman" w:eastAsia="Times New Roman" w:hAnsi="Times New Roman"/>
          <w:sz w:val="24"/>
          <w:szCs w:val="24"/>
        </w:rPr>
      </w:pPr>
    </w:p>
    <w:p w14:paraId="60E4CBA9" w14:textId="7E1A2794" w:rsidR="00F10621" w:rsidRPr="00480642" w:rsidRDefault="00D55122" w:rsidP="00712B34">
      <w:pPr>
        <w:pStyle w:val="Heading1"/>
      </w:pPr>
      <w:bookmarkStart w:id="3" w:name="_Toc72340512"/>
      <w:bookmarkStart w:id="4" w:name="_Toc72341016"/>
      <w:bookmarkStart w:id="5" w:name="_Toc72341281"/>
      <w:bookmarkStart w:id="6" w:name="_Toc72341698"/>
      <w:bookmarkStart w:id="7" w:name="_Toc72341797"/>
      <w:bookmarkStart w:id="8" w:name="_Toc72341897"/>
      <w:bookmarkStart w:id="9" w:name="_Toc72341997"/>
      <w:bookmarkStart w:id="10" w:name="_Toc72342096"/>
      <w:bookmarkStart w:id="11" w:name="_Toc72342197"/>
      <w:bookmarkStart w:id="12" w:name="_Toc72342295"/>
      <w:bookmarkStart w:id="13" w:name="_Toc72342393"/>
      <w:bookmarkStart w:id="14" w:name="_Toc72342491"/>
      <w:bookmarkStart w:id="15" w:name="_Toc72342590"/>
      <w:bookmarkStart w:id="16" w:name="_Toc72498942"/>
      <w:bookmarkStart w:id="17" w:name="_Toc72340513"/>
      <w:bookmarkStart w:id="18" w:name="_Toc72341017"/>
      <w:bookmarkStart w:id="19" w:name="_Toc72341282"/>
      <w:bookmarkStart w:id="20" w:name="_Toc72341699"/>
      <w:bookmarkStart w:id="21" w:name="_Toc72341798"/>
      <w:bookmarkStart w:id="22" w:name="_Toc72341898"/>
      <w:bookmarkStart w:id="23" w:name="_Toc72341998"/>
      <w:bookmarkStart w:id="24" w:name="_Toc72342097"/>
      <w:bookmarkStart w:id="25" w:name="_Toc72342198"/>
      <w:bookmarkStart w:id="26" w:name="_Toc72342296"/>
      <w:bookmarkStart w:id="27" w:name="_Toc72342394"/>
      <w:bookmarkStart w:id="28" w:name="_Toc72342492"/>
      <w:bookmarkStart w:id="29" w:name="_Toc72342591"/>
      <w:bookmarkStart w:id="30" w:name="_Toc72498943"/>
      <w:bookmarkStart w:id="31" w:name="_Toc72340514"/>
      <w:bookmarkStart w:id="32" w:name="_Toc72341018"/>
      <w:bookmarkStart w:id="33" w:name="_Toc72341283"/>
      <w:bookmarkStart w:id="34" w:name="_Toc72341700"/>
      <w:bookmarkStart w:id="35" w:name="_Toc72341799"/>
      <w:bookmarkStart w:id="36" w:name="_Toc72341899"/>
      <w:bookmarkStart w:id="37" w:name="_Toc72341999"/>
      <w:bookmarkStart w:id="38" w:name="_Toc72342098"/>
      <w:bookmarkStart w:id="39" w:name="_Toc72342199"/>
      <w:bookmarkStart w:id="40" w:name="_Toc72342297"/>
      <w:bookmarkStart w:id="41" w:name="_Toc72342395"/>
      <w:bookmarkStart w:id="42" w:name="_Toc72342493"/>
      <w:bookmarkStart w:id="43" w:name="_Toc72342592"/>
      <w:bookmarkStart w:id="44" w:name="_Toc72498944"/>
      <w:bookmarkStart w:id="45" w:name="_Toc72340515"/>
      <w:bookmarkStart w:id="46" w:name="_Toc72341019"/>
      <w:bookmarkStart w:id="47" w:name="_Toc72341284"/>
      <w:bookmarkStart w:id="48" w:name="_Toc72341701"/>
      <w:bookmarkStart w:id="49" w:name="_Toc72341800"/>
      <w:bookmarkStart w:id="50" w:name="_Toc72341900"/>
      <w:bookmarkStart w:id="51" w:name="_Toc72342000"/>
      <w:bookmarkStart w:id="52" w:name="_Toc72342099"/>
      <w:bookmarkStart w:id="53" w:name="_Toc72342200"/>
      <w:bookmarkStart w:id="54" w:name="_Toc72342298"/>
      <w:bookmarkStart w:id="55" w:name="_Toc72342396"/>
      <w:bookmarkStart w:id="56" w:name="_Toc72342494"/>
      <w:bookmarkStart w:id="57" w:name="_Toc72342593"/>
      <w:bookmarkStart w:id="58" w:name="_Toc72498945"/>
      <w:bookmarkStart w:id="59" w:name="_Toc72340516"/>
      <w:bookmarkStart w:id="60" w:name="_Toc72341020"/>
      <w:bookmarkStart w:id="61" w:name="_Toc72341285"/>
      <w:bookmarkStart w:id="62" w:name="_Toc72341702"/>
      <w:bookmarkStart w:id="63" w:name="_Toc72341801"/>
      <w:bookmarkStart w:id="64" w:name="_Toc72341901"/>
      <w:bookmarkStart w:id="65" w:name="_Toc72342001"/>
      <w:bookmarkStart w:id="66" w:name="_Toc72342100"/>
      <w:bookmarkStart w:id="67" w:name="_Toc72342201"/>
      <w:bookmarkStart w:id="68" w:name="_Toc72342299"/>
      <w:bookmarkStart w:id="69" w:name="_Toc72342397"/>
      <w:bookmarkStart w:id="70" w:name="_Toc72342495"/>
      <w:bookmarkStart w:id="71" w:name="_Toc72342594"/>
      <w:bookmarkStart w:id="72" w:name="_Toc72498946"/>
      <w:bookmarkStart w:id="73" w:name="_Toc72340517"/>
      <w:bookmarkStart w:id="74" w:name="_Toc72341021"/>
      <w:bookmarkStart w:id="75" w:name="_Toc72341286"/>
      <w:bookmarkStart w:id="76" w:name="_Toc72341703"/>
      <w:bookmarkStart w:id="77" w:name="_Toc72341802"/>
      <w:bookmarkStart w:id="78" w:name="_Toc72341902"/>
      <w:bookmarkStart w:id="79" w:name="_Toc72342002"/>
      <w:bookmarkStart w:id="80" w:name="_Toc72342101"/>
      <w:bookmarkStart w:id="81" w:name="_Toc72342202"/>
      <w:bookmarkStart w:id="82" w:name="_Toc72342300"/>
      <w:bookmarkStart w:id="83" w:name="_Toc72342398"/>
      <w:bookmarkStart w:id="84" w:name="_Toc72342496"/>
      <w:bookmarkStart w:id="85" w:name="_Toc72342595"/>
      <w:bookmarkStart w:id="86" w:name="_Toc72498947"/>
      <w:bookmarkStart w:id="87" w:name="_Toc72340518"/>
      <w:bookmarkStart w:id="88" w:name="_Toc72341022"/>
      <w:bookmarkStart w:id="89" w:name="_Toc72341287"/>
      <w:bookmarkStart w:id="90" w:name="_Toc72341704"/>
      <w:bookmarkStart w:id="91" w:name="_Toc72341803"/>
      <w:bookmarkStart w:id="92" w:name="_Toc72341903"/>
      <w:bookmarkStart w:id="93" w:name="_Toc72342003"/>
      <w:bookmarkStart w:id="94" w:name="_Toc72342102"/>
      <w:bookmarkStart w:id="95" w:name="_Toc72342203"/>
      <w:bookmarkStart w:id="96" w:name="_Toc72342301"/>
      <w:bookmarkStart w:id="97" w:name="_Toc72342399"/>
      <w:bookmarkStart w:id="98" w:name="_Toc72342497"/>
      <w:bookmarkStart w:id="99" w:name="_Toc72342596"/>
      <w:bookmarkStart w:id="100" w:name="_Toc72498948"/>
      <w:bookmarkStart w:id="101" w:name="_Toc72340519"/>
      <w:bookmarkStart w:id="102" w:name="_Toc72341023"/>
      <w:bookmarkStart w:id="103" w:name="_Toc72341288"/>
      <w:bookmarkStart w:id="104" w:name="_Toc72341705"/>
      <w:bookmarkStart w:id="105" w:name="_Toc72341804"/>
      <w:bookmarkStart w:id="106" w:name="_Toc72341904"/>
      <w:bookmarkStart w:id="107" w:name="_Toc72342004"/>
      <w:bookmarkStart w:id="108" w:name="_Toc72342103"/>
      <w:bookmarkStart w:id="109" w:name="_Toc72342204"/>
      <w:bookmarkStart w:id="110" w:name="_Toc72342302"/>
      <w:bookmarkStart w:id="111" w:name="_Toc72342400"/>
      <w:bookmarkStart w:id="112" w:name="_Toc72342498"/>
      <w:bookmarkStart w:id="113" w:name="_Toc72342597"/>
      <w:bookmarkStart w:id="114" w:name="_Toc72498949"/>
      <w:bookmarkStart w:id="115" w:name="_Toc72340520"/>
      <w:bookmarkStart w:id="116" w:name="_Toc72341024"/>
      <w:bookmarkStart w:id="117" w:name="_Toc72341289"/>
      <w:bookmarkStart w:id="118" w:name="_Toc72341706"/>
      <w:bookmarkStart w:id="119" w:name="_Toc72341805"/>
      <w:bookmarkStart w:id="120" w:name="_Toc72341905"/>
      <w:bookmarkStart w:id="121" w:name="_Toc72342005"/>
      <w:bookmarkStart w:id="122" w:name="_Toc72342104"/>
      <w:bookmarkStart w:id="123" w:name="_Toc72342205"/>
      <w:bookmarkStart w:id="124" w:name="_Toc72342303"/>
      <w:bookmarkStart w:id="125" w:name="_Toc72342401"/>
      <w:bookmarkStart w:id="126" w:name="_Toc72342499"/>
      <w:bookmarkStart w:id="127" w:name="_Toc72342598"/>
      <w:bookmarkStart w:id="128" w:name="_Toc72498950"/>
      <w:bookmarkStart w:id="129" w:name="_Toc72340521"/>
      <w:bookmarkStart w:id="130" w:name="_Toc72341025"/>
      <w:bookmarkStart w:id="131" w:name="_Toc72341290"/>
      <w:bookmarkStart w:id="132" w:name="_Toc72341707"/>
      <w:bookmarkStart w:id="133" w:name="_Toc72341806"/>
      <w:bookmarkStart w:id="134" w:name="_Toc72341906"/>
      <w:bookmarkStart w:id="135" w:name="_Toc72342006"/>
      <w:bookmarkStart w:id="136" w:name="_Toc72342105"/>
      <w:bookmarkStart w:id="137" w:name="_Toc72342206"/>
      <w:bookmarkStart w:id="138" w:name="_Toc72342304"/>
      <w:bookmarkStart w:id="139" w:name="_Toc72342402"/>
      <w:bookmarkStart w:id="140" w:name="_Toc72342500"/>
      <w:bookmarkStart w:id="141" w:name="_Toc72342599"/>
      <w:bookmarkStart w:id="142" w:name="_Toc72498951"/>
      <w:bookmarkStart w:id="143" w:name="_Toc72340522"/>
      <w:bookmarkStart w:id="144" w:name="_Toc72341026"/>
      <w:bookmarkStart w:id="145" w:name="_Toc72341291"/>
      <w:bookmarkStart w:id="146" w:name="_Toc72341708"/>
      <w:bookmarkStart w:id="147" w:name="_Toc72341807"/>
      <w:bookmarkStart w:id="148" w:name="_Toc72341907"/>
      <w:bookmarkStart w:id="149" w:name="_Toc72342007"/>
      <w:bookmarkStart w:id="150" w:name="_Toc72342106"/>
      <w:bookmarkStart w:id="151" w:name="_Toc72342207"/>
      <w:bookmarkStart w:id="152" w:name="_Toc72342305"/>
      <w:bookmarkStart w:id="153" w:name="_Toc72342403"/>
      <w:bookmarkStart w:id="154" w:name="_Toc72342501"/>
      <w:bookmarkStart w:id="155" w:name="_Toc72342600"/>
      <w:bookmarkStart w:id="156" w:name="_Toc72498952"/>
      <w:bookmarkStart w:id="157" w:name="_Toc72340523"/>
      <w:bookmarkStart w:id="158" w:name="_Toc72341027"/>
      <w:bookmarkStart w:id="159" w:name="_Toc72341292"/>
      <w:bookmarkStart w:id="160" w:name="_Toc72341709"/>
      <w:bookmarkStart w:id="161" w:name="_Toc72341808"/>
      <w:bookmarkStart w:id="162" w:name="_Toc72341908"/>
      <w:bookmarkStart w:id="163" w:name="_Toc72342008"/>
      <w:bookmarkStart w:id="164" w:name="_Toc72342107"/>
      <w:bookmarkStart w:id="165" w:name="_Toc72342208"/>
      <w:bookmarkStart w:id="166" w:name="_Toc72342306"/>
      <w:bookmarkStart w:id="167" w:name="_Toc72342404"/>
      <w:bookmarkStart w:id="168" w:name="_Toc72342502"/>
      <w:bookmarkStart w:id="169" w:name="_Toc72342601"/>
      <w:bookmarkStart w:id="170" w:name="_Toc72498953"/>
      <w:bookmarkStart w:id="171" w:name="_Toc72340524"/>
      <w:bookmarkStart w:id="172" w:name="_Toc72341028"/>
      <w:bookmarkStart w:id="173" w:name="_Toc72341293"/>
      <w:bookmarkStart w:id="174" w:name="_Toc72341710"/>
      <w:bookmarkStart w:id="175" w:name="_Toc72341809"/>
      <w:bookmarkStart w:id="176" w:name="_Toc72341909"/>
      <w:bookmarkStart w:id="177" w:name="_Toc72342009"/>
      <w:bookmarkStart w:id="178" w:name="_Toc72342108"/>
      <w:bookmarkStart w:id="179" w:name="_Toc72342209"/>
      <w:bookmarkStart w:id="180" w:name="_Toc72342307"/>
      <w:bookmarkStart w:id="181" w:name="_Toc72342405"/>
      <w:bookmarkStart w:id="182" w:name="_Toc72342503"/>
      <w:bookmarkStart w:id="183" w:name="_Toc72342602"/>
      <w:bookmarkStart w:id="184" w:name="_Toc72498954"/>
      <w:bookmarkStart w:id="185" w:name="_Toc72340525"/>
      <w:bookmarkStart w:id="186" w:name="_Toc72341029"/>
      <w:bookmarkStart w:id="187" w:name="_Toc72341294"/>
      <w:bookmarkStart w:id="188" w:name="_Toc72341711"/>
      <w:bookmarkStart w:id="189" w:name="_Toc72341810"/>
      <w:bookmarkStart w:id="190" w:name="_Toc72341910"/>
      <w:bookmarkStart w:id="191" w:name="_Toc72342010"/>
      <w:bookmarkStart w:id="192" w:name="_Toc72342109"/>
      <w:bookmarkStart w:id="193" w:name="_Toc72342210"/>
      <w:bookmarkStart w:id="194" w:name="_Toc72342308"/>
      <w:bookmarkStart w:id="195" w:name="_Toc72342406"/>
      <w:bookmarkStart w:id="196" w:name="_Toc72342504"/>
      <w:bookmarkStart w:id="197" w:name="_Toc72342603"/>
      <w:bookmarkStart w:id="198" w:name="_Toc72498955"/>
      <w:bookmarkStart w:id="199" w:name="_Toc72340526"/>
      <w:bookmarkStart w:id="200" w:name="_Toc72341030"/>
      <w:bookmarkStart w:id="201" w:name="_Toc72341295"/>
      <w:bookmarkStart w:id="202" w:name="_Toc72341712"/>
      <w:bookmarkStart w:id="203" w:name="_Toc72341811"/>
      <w:bookmarkStart w:id="204" w:name="_Toc72341911"/>
      <w:bookmarkStart w:id="205" w:name="_Toc72342011"/>
      <w:bookmarkStart w:id="206" w:name="_Toc72342110"/>
      <w:bookmarkStart w:id="207" w:name="_Toc72342211"/>
      <w:bookmarkStart w:id="208" w:name="_Toc72342309"/>
      <w:bookmarkStart w:id="209" w:name="_Toc72342407"/>
      <w:bookmarkStart w:id="210" w:name="_Toc72342505"/>
      <w:bookmarkStart w:id="211" w:name="_Toc72342604"/>
      <w:bookmarkStart w:id="212" w:name="_Toc72498956"/>
      <w:bookmarkStart w:id="213" w:name="_Toc72340527"/>
      <w:bookmarkStart w:id="214" w:name="_Toc72341031"/>
      <w:bookmarkStart w:id="215" w:name="_Toc72341296"/>
      <w:bookmarkStart w:id="216" w:name="_Toc72341713"/>
      <w:bookmarkStart w:id="217" w:name="_Toc72341812"/>
      <w:bookmarkStart w:id="218" w:name="_Toc72341912"/>
      <w:bookmarkStart w:id="219" w:name="_Toc72342012"/>
      <w:bookmarkStart w:id="220" w:name="_Toc72342111"/>
      <w:bookmarkStart w:id="221" w:name="_Toc72342212"/>
      <w:bookmarkStart w:id="222" w:name="_Toc72342310"/>
      <w:bookmarkStart w:id="223" w:name="_Toc72342408"/>
      <w:bookmarkStart w:id="224" w:name="_Toc72342506"/>
      <w:bookmarkStart w:id="225" w:name="_Toc72342605"/>
      <w:bookmarkStart w:id="226" w:name="_Toc72498957"/>
      <w:bookmarkStart w:id="227" w:name="_Toc72340528"/>
      <w:bookmarkStart w:id="228" w:name="_Toc72341032"/>
      <w:bookmarkStart w:id="229" w:name="_Toc72341297"/>
      <w:bookmarkStart w:id="230" w:name="_Toc72341714"/>
      <w:bookmarkStart w:id="231" w:name="_Toc72341813"/>
      <w:bookmarkStart w:id="232" w:name="_Toc72341913"/>
      <w:bookmarkStart w:id="233" w:name="_Toc72342013"/>
      <w:bookmarkStart w:id="234" w:name="_Toc72342112"/>
      <w:bookmarkStart w:id="235" w:name="_Toc72342213"/>
      <w:bookmarkStart w:id="236" w:name="_Toc72342311"/>
      <w:bookmarkStart w:id="237" w:name="_Toc72342409"/>
      <w:bookmarkStart w:id="238" w:name="_Toc72342507"/>
      <w:bookmarkStart w:id="239" w:name="_Toc72342606"/>
      <w:bookmarkStart w:id="240" w:name="_Toc72498958"/>
      <w:bookmarkStart w:id="241" w:name="_Toc72340529"/>
      <w:bookmarkStart w:id="242" w:name="_Toc72341033"/>
      <w:bookmarkStart w:id="243" w:name="_Toc72341298"/>
      <w:bookmarkStart w:id="244" w:name="_Toc72341715"/>
      <w:bookmarkStart w:id="245" w:name="_Toc72341814"/>
      <w:bookmarkStart w:id="246" w:name="_Toc72341914"/>
      <w:bookmarkStart w:id="247" w:name="_Toc72342014"/>
      <w:bookmarkStart w:id="248" w:name="_Toc72342113"/>
      <w:bookmarkStart w:id="249" w:name="_Toc72342214"/>
      <w:bookmarkStart w:id="250" w:name="_Toc72342312"/>
      <w:bookmarkStart w:id="251" w:name="_Toc72342410"/>
      <w:bookmarkStart w:id="252" w:name="_Toc72342508"/>
      <w:bookmarkStart w:id="253" w:name="_Toc72342607"/>
      <w:bookmarkStart w:id="254" w:name="_Toc72498959"/>
      <w:bookmarkStart w:id="255" w:name="_Toc72340530"/>
      <w:bookmarkStart w:id="256" w:name="_Toc72341034"/>
      <w:bookmarkStart w:id="257" w:name="_Toc72341299"/>
      <w:bookmarkStart w:id="258" w:name="_Toc72341716"/>
      <w:bookmarkStart w:id="259" w:name="_Toc72341815"/>
      <w:bookmarkStart w:id="260" w:name="_Toc72341915"/>
      <w:bookmarkStart w:id="261" w:name="_Toc72342015"/>
      <w:bookmarkStart w:id="262" w:name="_Toc72342114"/>
      <w:bookmarkStart w:id="263" w:name="_Toc72342215"/>
      <w:bookmarkStart w:id="264" w:name="_Toc72342313"/>
      <w:bookmarkStart w:id="265" w:name="_Toc72342411"/>
      <w:bookmarkStart w:id="266" w:name="_Toc72342509"/>
      <w:bookmarkStart w:id="267" w:name="_Toc72342608"/>
      <w:bookmarkStart w:id="268" w:name="_Toc72498960"/>
      <w:bookmarkStart w:id="269" w:name="_Toc72340531"/>
      <w:bookmarkStart w:id="270" w:name="_Toc72341035"/>
      <w:bookmarkStart w:id="271" w:name="_Toc72341300"/>
      <w:bookmarkStart w:id="272" w:name="_Toc72341717"/>
      <w:bookmarkStart w:id="273" w:name="_Toc72341816"/>
      <w:bookmarkStart w:id="274" w:name="_Toc72341916"/>
      <w:bookmarkStart w:id="275" w:name="_Toc72342016"/>
      <w:bookmarkStart w:id="276" w:name="_Toc72342115"/>
      <w:bookmarkStart w:id="277" w:name="_Toc72342216"/>
      <w:bookmarkStart w:id="278" w:name="_Toc72342314"/>
      <w:bookmarkStart w:id="279" w:name="_Toc72342412"/>
      <w:bookmarkStart w:id="280" w:name="_Toc72342510"/>
      <w:bookmarkStart w:id="281" w:name="_Toc72342609"/>
      <w:bookmarkStart w:id="282" w:name="_Toc72498961"/>
      <w:bookmarkStart w:id="283" w:name="_Toc72340532"/>
      <w:bookmarkStart w:id="284" w:name="_Toc72341036"/>
      <w:bookmarkStart w:id="285" w:name="_Toc72341301"/>
      <w:bookmarkStart w:id="286" w:name="_Toc72341718"/>
      <w:bookmarkStart w:id="287" w:name="_Toc72341817"/>
      <w:bookmarkStart w:id="288" w:name="_Toc72341917"/>
      <w:bookmarkStart w:id="289" w:name="_Toc72342017"/>
      <w:bookmarkStart w:id="290" w:name="_Toc72342116"/>
      <w:bookmarkStart w:id="291" w:name="_Toc72342217"/>
      <w:bookmarkStart w:id="292" w:name="_Toc72342315"/>
      <w:bookmarkStart w:id="293" w:name="_Toc72342413"/>
      <w:bookmarkStart w:id="294" w:name="_Toc72342511"/>
      <w:bookmarkStart w:id="295" w:name="_Toc72342610"/>
      <w:bookmarkStart w:id="296" w:name="_Toc72498962"/>
      <w:bookmarkStart w:id="297" w:name="_Toc72340533"/>
      <w:bookmarkStart w:id="298" w:name="_Toc72341037"/>
      <w:bookmarkStart w:id="299" w:name="_Toc72341302"/>
      <w:bookmarkStart w:id="300" w:name="_Toc72341719"/>
      <w:bookmarkStart w:id="301" w:name="_Toc72341818"/>
      <w:bookmarkStart w:id="302" w:name="_Toc72341918"/>
      <w:bookmarkStart w:id="303" w:name="_Toc72342018"/>
      <w:bookmarkStart w:id="304" w:name="_Toc72342117"/>
      <w:bookmarkStart w:id="305" w:name="_Toc72342218"/>
      <w:bookmarkStart w:id="306" w:name="_Toc72342316"/>
      <w:bookmarkStart w:id="307" w:name="_Toc72342414"/>
      <w:bookmarkStart w:id="308" w:name="_Toc72342512"/>
      <w:bookmarkStart w:id="309" w:name="_Toc72342611"/>
      <w:bookmarkStart w:id="310" w:name="_Toc72498963"/>
      <w:bookmarkStart w:id="311" w:name="_Toc72340534"/>
      <w:bookmarkStart w:id="312" w:name="_Toc72341038"/>
      <w:bookmarkStart w:id="313" w:name="_Toc72341303"/>
      <w:bookmarkStart w:id="314" w:name="_Toc72341720"/>
      <w:bookmarkStart w:id="315" w:name="_Toc72341819"/>
      <w:bookmarkStart w:id="316" w:name="_Toc72341919"/>
      <w:bookmarkStart w:id="317" w:name="_Toc72342019"/>
      <w:bookmarkStart w:id="318" w:name="_Toc72342118"/>
      <w:bookmarkStart w:id="319" w:name="_Toc72342219"/>
      <w:bookmarkStart w:id="320" w:name="_Toc72342317"/>
      <w:bookmarkStart w:id="321" w:name="_Toc72342415"/>
      <w:bookmarkStart w:id="322" w:name="_Toc72342513"/>
      <w:bookmarkStart w:id="323" w:name="_Toc72342612"/>
      <w:bookmarkStart w:id="324" w:name="_Toc72498964"/>
      <w:bookmarkStart w:id="325" w:name="_Toc72340535"/>
      <w:bookmarkStart w:id="326" w:name="_Toc72341039"/>
      <w:bookmarkStart w:id="327" w:name="_Toc72341304"/>
      <w:bookmarkStart w:id="328" w:name="_Toc72341721"/>
      <w:bookmarkStart w:id="329" w:name="_Toc72341820"/>
      <w:bookmarkStart w:id="330" w:name="_Toc72341920"/>
      <w:bookmarkStart w:id="331" w:name="_Toc72342020"/>
      <w:bookmarkStart w:id="332" w:name="_Toc72342119"/>
      <w:bookmarkStart w:id="333" w:name="_Toc72342220"/>
      <w:bookmarkStart w:id="334" w:name="_Toc72342318"/>
      <w:bookmarkStart w:id="335" w:name="_Toc72342416"/>
      <w:bookmarkStart w:id="336" w:name="_Toc72342514"/>
      <w:bookmarkStart w:id="337" w:name="_Toc72342613"/>
      <w:bookmarkStart w:id="338" w:name="_Toc72498965"/>
      <w:bookmarkStart w:id="339" w:name="_Toc72340536"/>
      <w:bookmarkStart w:id="340" w:name="_Toc72341040"/>
      <w:bookmarkStart w:id="341" w:name="_Toc72341305"/>
      <w:bookmarkStart w:id="342" w:name="_Toc72341722"/>
      <w:bookmarkStart w:id="343" w:name="_Toc72341821"/>
      <w:bookmarkStart w:id="344" w:name="_Toc72341921"/>
      <w:bookmarkStart w:id="345" w:name="_Toc72342021"/>
      <w:bookmarkStart w:id="346" w:name="_Toc72342120"/>
      <w:bookmarkStart w:id="347" w:name="_Toc72342221"/>
      <w:bookmarkStart w:id="348" w:name="_Toc72342319"/>
      <w:bookmarkStart w:id="349" w:name="_Toc72342417"/>
      <w:bookmarkStart w:id="350" w:name="_Toc72342515"/>
      <w:bookmarkStart w:id="351" w:name="_Toc72342614"/>
      <w:bookmarkStart w:id="352" w:name="_Toc72498966"/>
      <w:bookmarkStart w:id="353" w:name="_Toc72340537"/>
      <w:bookmarkStart w:id="354" w:name="_Toc72341041"/>
      <w:bookmarkStart w:id="355" w:name="_Toc72341306"/>
      <w:bookmarkStart w:id="356" w:name="_Toc72341723"/>
      <w:bookmarkStart w:id="357" w:name="_Toc72341822"/>
      <w:bookmarkStart w:id="358" w:name="_Toc72341922"/>
      <w:bookmarkStart w:id="359" w:name="_Toc72342022"/>
      <w:bookmarkStart w:id="360" w:name="_Toc72342121"/>
      <w:bookmarkStart w:id="361" w:name="_Toc72342222"/>
      <w:bookmarkStart w:id="362" w:name="_Toc72342320"/>
      <w:bookmarkStart w:id="363" w:name="_Toc72342418"/>
      <w:bookmarkStart w:id="364" w:name="_Toc72342516"/>
      <w:bookmarkStart w:id="365" w:name="_Toc72342615"/>
      <w:bookmarkStart w:id="366" w:name="_Toc72498967"/>
      <w:bookmarkStart w:id="367" w:name="_Toc72340538"/>
      <w:bookmarkStart w:id="368" w:name="_Toc72341042"/>
      <w:bookmarkStart w:id="369" w:name="_Toc72341307"/>
      <w:bookmarkStart w:id="370" w:name="_Toc72341724"/>
      <w:bookmarkStart w:id="371" w:name="_Toc72341823"/>
      <w:bookmarkStart w:id="372" w:name="_Toc72341923"/>
      <w:bookmarkStart w:id="373" w:name="_Toc72342023"/>
      <w:bookmarkStart w:id="374" w:name="_Toc72342122"/>
      <w:bookmarkStart w:id="375" w:name="_Toc72342223"/>
      <w:bookmarkStart w:id="376" w:name="_Toc72342321"/>
      <w:bookmarkStart w:id="377" w:name="_Toc72342419"/>
      <w:bookmarkStart w:id="378" w:name="_Toc72342517"/>
      <w:bookmarkStart w:id="379" w:name="_Toc72342616"/>
      <w:bookmarkStart w:id="380" w:name="_Toc72498968"/>
      <w:bookmarkStart w:id="381" w:name="_Toc72340539"/>
      <w:bookmarkStart w:id="382" w:name="_Toc72341043"/>
      <w:bookmarkStart w:id="383" w:name="_Toc72341308"/>
      <w:bookmarkStart w:id="384" w:name="_Toc72341725"/>
      <w:bookmarkStart w:id="385" w:name="_Toc72341824"/>
      <w:bookmarkStart w:id="386" w:name="_Toc72341924"/>
      <w:bookmarkStart w:id="387" w:name="_Toc72342024"/>
      <w:bookmarkStart w:id="388" w:name="_Toc72342123"/>
      <w:bookmarkStart w:id="389" w:name="_Toc72342224"/>
      <w:bookmarkStart w:id="390" w:name="_Toc72342322"/>
      <w:bookmarkStart w:id="391" w:name="_Toc72342420"/>
      <w:bookmarkStart w:id="392" w:name="_Toc72342518"/>
      <w:bookmarkStart w:id="393" w:name="_Toc72342617"/>
      <w:bookmarkStart w:id="394" w:name="_Toc72498969"/>
      <w:bookmarkStart w:id="395" w:name="_Toc72340540"/>
      <w:bookmarkStart w:id="396" w:name="_Toc72341044"/>
      <w:bookmarkStart w:id="397" w:name="_Toc72341309"/>
      <w:bookmarkStart w:id="398" w:name="_Toc72341726"/>
      <w:bookmarkStart w:id="399" w:name="_Toc72341825"/>
      <w:bookmarkStart w:id="400" w:name="_Toc72341925"/>
      <w:bookmarkStart w:id="401" w:name="_Toc72342025"/>
      <w:bookmarkStart w:id="402" w:name="_Toc72342124"/>
      <w:bookmarkStart w:id="403" w:name="_Toc72342225"/>
      <w:bookmarkStart w:id="404" w:name="_Toc72342323"/>
      <w:bookmarkStart w:id="405" w:name="_Toc72342421"/>
      <w:bookmarkStart w:id="406" w:name="_Toc72342519"/>
      <w:bookmarkStart w:id="407" w:name="_Toc72342618"/>
      <w:bookmarkStart w:id="408" w:name="_Toc72498970"/>
      <w:bookmarkStart w:id="409" w:name="_Toc72340541"/>
      <w:bookmarkStart w:id="410" w:name="_Toc72341045"/>
      <w:bookmarkStart w:id="411" w:name="_Toc72341310"/>
      <w:bookmarkStart w:id="412" w:name="_Toc72341727"/>
      <w:bookmarkStart w:id="413" w:name="_Toc72341826"/>
      <w:bookmarkStart w:id="414" w:name="_Toc72341926"/>
      <w:bookmarkStart w:id="415" w:name="_Toc72342026"/>
      <w:bookmarkStart w:id="416" w:name="_Toc72342125"/>
      <w:bookmarkStart w:id="417" w:name="_Toc72342226"/>
      <w:bookmarkStart w:id="418" w:name="_Toc72342324"/>
      <w:bookmarkStart w:id="419" w:name="_Toc72342422"/>
      <w:bookmarkStart w:id="420" w:name="_Toc72342520"/>
      <w:bookmarkStart w:id="421" w:name="_Toc72342619"/>
      <w:bookmarkStart w:id="422" w:name="_Toc72498971"/>
      <w:bookmarkStart w:id="423" w:name="_Toc72340542"/>
      <w:bookmarkStart w:id="424" w:name="_Toc72341046"/>
      <w:bookmarkStart w:id="425" w:name="_Toc72341311"/>
      <w:bookmarkStart w:id="426" w:name="_Toc72341728"/>
      <w:bookmarkStart w:id="427" w:name="_Toc72341827"/>
      <w:bookmarkStart w:id="428" w:name="_Toc72341927"/>
      <w:bookmarkStart w:id="429" w:name="_Toc72342027"/>
      <w:bookmarkStart w:id="430" w:name="_Toc72342126"/>
      <w:bookmarkStart w:id="431" w:name="_Toc72342227"/>
      <w:bookmarkStart w:id="432" w:name="_Toc72342325"/>
      <w:bookmarkStart w:id="433" w:name="_Toc72342423"/>
      <w:bookmarkStart w:id="434" w:name="_Toc72342521"/>
      <w:bookmarkStart w:id="435" w:name="_Toc72342620"/>
      <w:bookmarkStart w:id="436" w:name="_Toc72498972"/>
      <w:bookmarkStart w:id="437" w:name="_Toc72340543"/>
      <w:bookmarkStart w:id="438" w:name="_Toc72341047"/>
      <w:bookmarkStart w:id="439" w:name="_Toc72341312"/>
      <w:bookmarkStart w:id="440" w:name="_Toc72341729"/>
      <w:bookmarkStart w:id="441" w:name="_Toc72341828"/>
      <w:bookmarkStart w:id="442" w:name="_Toc72341928"/>
      <w:bookmarkStart w:id="443" w:name="_Toc72342028"/>
      <w:bookmarkStart w:id="444" w:name="_Toc72342127"/>
      <w:bookmarkStart w:id="445" w:name="_Toc72342228"/>
      <w:bookmarkStart w:id="446" w:name="_Toc72342326"/>
      <w:bookmarkStart w:id="447" w:name="_Toc72342424"/>
      <w:bookmarkStart w:id="448" w:name="_Toc72342522"/>
      <w:bookmarkStart w:id="449" w:name="_Toc72342621"/>
      <w:bookmarkStart w:id="450" w:name="_Toc72498973"/>
      <w:bookmarkStart w:id="451" w:name="_Toc72340544"/>
      <w:bookmarkStart w:id="452" w:name="_Toc72341048"/>
      <w:bookmarkStart w:id="453" w:name="_Toc72341313"/>
      <w:bookmarkStart w:id="454" w:name="_Toc72341730"/>
      <w:bookmarkStart w:id="455" w:name="_Toc72341829"/>
      <w:bookmarkStart w:id="456" w:name="_Toc72341929"/>
      <w:bookmarkStart w:id="457" w:name="_Toc72342029"/>
      <w:bookmarkStart w:id="458" w:name="_Toc72342128"/>
      <w:bookmarkStart w:id="459" w:name="_Toc72342229"/>
      <w:bookmarkStart w:id="460" w:name="_Toc72342327"/>
      <w:bookmarkStart w:id="461" w:name="_Toc72342425"/>
      <w:bookmarkStart w:id="462" w:name="_Toc72342523"/>
      <w:bookmarkStart w:id="463" w:name="_Toc72342622"/>
      <w:bookmarkStart w:id="464" w:name="_Toc72498974"/>
      <w:bookmarkStart w:id="465" w:name="_Toc72340545"/>
      <w:bookmarkStart w:id="466" w:name="_Toc72341049"/>
      <w:bookmarkStart w:id="467" w:name="_Toc72341314"/>
      <w:bookmarkStart w:id="468" w:name="_Toc72341731"/>
      <w:bookmarkStart w:id="469" w:name="_Toc72341830"/>
      <w:bookmarkStart w:id="470" w:name="_Toc72341930"/>
      <w:bookmarkStart w:id="471" w:name="_Toc72342030"/>
      <w:bookmarkStart w:id="472" w:name="_Toc72342129"/>
      <w:bookmarkStart w:id="473" w:name="_Toc72342230"/>
      <w:bookmarkStart w:id="474" w:name="_Toc72342328"/>
      <w:bookmarkStart w:id="475" w:name="_Toc72342426"/>
      <w:bookmarkStart w:id="476" w:name="_Toc72342524"/>
      <w:bookmarkStart w:id="477" w:name="_Toc72342623"/>
      <w:bookmarkStart w:id="478" w:name="_Toc72498975"/>
      <w:bookmarkStart w:id="479" w:name="_Toc72340546"/>
      <w:bookmarkStart w:id="480" w:name="_Toc72341050"/>
      <w:bookmarkStart w:id="481" w:name="_Toc72341315"/>
      <w:bookmarkStart w:id="482" w:name="_Toc72341732"/>
      <w:bookmarkStart w:id="483" w:name="_Toc72341831"/>
      <w:bookmarkStart w:id="484" w:name="_Toc72341931"/>
      <w:bookmarkStart w:id="485" w:name="_Toc72342031"/>
      <w:bookmarkStart w:id="486" w:name="_Toc72342130"/>
      <w:bookmarkStart w:id="487" w:name="_Toc72342231"/>
      <w:bookmarkStart w:id="488" w:name="_Toc72342329"/>
      <w:bookmarkStart w:id="489" w:name="_Toc72342427"/>
      <w:bookmarkStart w:id="490" w:name="_Toc72342525"/>
      <w:bookmarkStart w:id="491" w:name="_Toc72342624"/>
      <w:bookmarkStart w:id="492" w:name="_Toc72498976"/>
      <w:bookmarkStart w:id="493" w:name="_Toc72340547"/>
      <w:bookmarkStart w:id="494" w:name="_Toc72341051"/>
      <w:bookmarkStart w:id="495" w:name="_Toc72341316"/>
      <w:bookmarkStart w:id="496" w:name="_Toc72341733"/>
      <w:bookmarkStart w:id="497" w:name="_Toc72341832"/>
      <w:bookmarkStart w:id="498" w:name="_Toc72341932"/>
      <w:bookmarkStart w:id="499" w:name="_Toc72342032"/>
      <w:bookmarkStart w:id="500" w:name="_Toc72342131"/>
      <w:bookmarkStart w:id="501" w:name="_Toc72342232"/>
      <w:bookmarkStart w:id="502" w:name="_Toc72342330"/>
      <w:bookmarkStart w:id="503" w:name="_Toc72342428"/>
      <w:bookmarkStart w:id="504" w:name="_Toc72342526"/>
      <w:bookmarkStart w:id="505" w:name="_Toc72342625"/>
      <w:bookmarkStart w:id="506" w:name="_Toc72498977"/>
      <w:bookmarkStart w:id="507" w:name="_Toc72340548"/>
      <w:bookmarkStart w:id="508" w:name="_Toc72341052"/>
      <w:bookmarkStart w:id="509" w:name="_Toc72341317"/>
      <w:bookmarkStart w:id="510" w:name="_Toc72341734"/>
      <w:bookmarkStart w:id="511" w:name="_Toc72341833"/>
      <w:bookmarkStart w:id="512" w:name="_Toc72341933"/>
      <w:bookmarkStart w:id="513" w:name="_Toc72342033"/>
      <w:bookmarkStart w:id="514" w:name="_Toc72342132"/>
      <w:bookmarkStart w:id="515" w:name="_Toc72342233"/>
      <w:bookmarkStart w:id="516" w:name="_Toc72342331"/>
      <w:bookmarkStart w:id="517" w:name="_Toc72342429"/>
      <w:bookmarkStart w:id="518" w:name="_Toc72342527"/>
      <w:bookmarkStart w:id="519" w:name="_Toc72342626"/>
      <w:bookmarkStart w:id="520" w:name="_Toc72498978"/>
      <w:bookmarkStart w:id="521" w:name="_Toc72340549"/>
      <w:bookmarkStart w:id="522" w:name="_Toc72341053"/>
      <w:bookmarkStart w:id="523" w:name="_Toc72341318"/>
      <w:bookmarkStart w:id="524" w:name="_Toc72341735"/>
      <w:bookmarkStart w:id="525" w:name="_Toc72341834"/>
      <w:bookmarkStart w:id="526" w:name="_Toc72341934"/>
      <w:bookmarkStart w:id="527" w:name="_Toc72342034"/>
      <w:bookmarkStart w:id="528" w:name="_Toc72342133"/>
      <w:bookmarkStart w:id="529" w:name="_Toc72342234"/>
      <w:bookmarkStart w:id="530" w:name="_Toc72342332"/>
      <w:bookmarkStart w:id="531" w:name="_Toc72342430"/>
      <w:bookmarkStart w:id="532" w:name="_Toc72342528"/>
      <w:bookmarkStart w:id="533" w:name="_Toc72342627"/>
      <w:bookmarkStart w:id="534" w:name="_Toc72498979"/>
      <w:bookmarkStart w:id="535" w:name="_Toc72340550"/>
      <w:bookmarkStart w:id="536" w:name="_Toc72341054"/>
      <w:bookmarkStart w:id="537" w:name="_Toc72341319"/>
      <w:bookmarkStart w:id="538" w:name="_Toc72341736"/>
      <w:bookmarkStart w:id="539" w:name="_Toc72341835"/>
      <w:bookmarkStart w:id="540" w:name="_Toc72341935"/>
      <w:bookmarkStart w:id="541" w:name="_Toc72342035"/>
      <w:bookmarkStart w:id="542" w:name="_Toc72342134"/>
      <w:bookmarkStart w:id="543" w:name="_Toc72342235"/>
      <w:bookmarkStart w:id="544" w:name="_Toc72342333"/>
      <w:bookmarkStart w:id="545" w:name="_Toc72342431"/>
      <w:bookmarkStart w:id="546" w:name="_Toc72342529"/>
      <w:bookmarkStart w:id="547" w:name="_Toc72342628"/>
      <w:bookmarkStart w:id="548" w:name="_Toc72498980"/>
      <w:bookmarkStart w:id="549" w:name="_Toc72340551"/>
      <w:bookmarkStart w:id="550" w:name="_Toc72341055"/>
      <w:bookmarkStart w:id="551" w:name="_Toc72341320"/>
      <w:bookmarkStart w:id="552" w:name="_Toc72341737"/>
      <w:bookmarkStart w:id="553" w:name="_Toc72341836"/>
      <w:bookmarkStart w:id="554" w:name="_Toc72341936"/>
      <w:bookmarkStart w:id="555" w:name="_Toc72342036"/>
      <w:bookmarkStart w:id="556" w:name="_Toc72342135"/>
      <w:bookmarkStart w:id="557" w:name="_Toc72342236"/>
      <w:bookmarkStart w:id="558" w:name="_Toc72342334"/>
      <w:bookmarkStart w:id="559" w:name="_Toc72342432"/>
      <w:bookmarkStart w:id="560" w:name="_Toc72342530"/>
      <w:bookmarkStart w:id="561" w:name="_Toc72342629"/>
      <w:bookmarkStart w:id="562" w:name="_Toc72498981"/>
      <w:bookmarkStart w:id="563" w:name="_Toc72340552"/>
      <w:bookmarkStart w:id="564" w:name="_Toc72341056"/>
      <w:bookmarkStart w:id="565" w:name="_Toc72341321"/>
      <w:bookmarkStart w:id="566" w:name="_Toc72341738"/>
      <w:bookmarkStart w:id="567" w:name="_Toc72341837"/>
      <w:bookmarkStart w:id="568" w:name="_Toc72341937"/>
      <w:bookmarkStart w:id="569" w:name="_Toc72342037"/>
      <w:bookmarkStart w:id="570" w:name="_Toc72342136"/>
      <w:bookmarkStart w:id="571" w:name="_Toc72342237"/>
      <w:bookmarkStart w:id="572" w:name="_Toc72342335"/>
      <w:bookmarkStart w:id="573" w:name="_Toc72342433"/>
      <w:bookmarkStart w:id="574" w:name="_Toc72342531"/>
      <w:bookmarkStart w:id="575" w:name="_Toc72342630"/>
      <w:bookmarkStart w:id="576" w:name="_Toc72498982"/>
      <w:bookmarkStart w:id="577" w:name="_Toc72340553"/>
      <w:bookmarkStart w:id="578" w:name="_Toc72341057"/>
      <w:bookmarkStart w:id="579" w:name="_Toc72341322"/>
      <w:bookmarkStart w:id="580" w:name="_Toc72341739"/>
      <w:bookmarkStart w:id="581" w:name="_Toc72341838"/>
      <w:bookmarkStart w:id="582" w:name="_Toc72341938"/>
      <w:bookmarkStart w:id="583" w:name="_Toc72342038"/>
      <w:bookmarkStart w:id="584" w:name="_Toc72342137"/>
      <w:bookmarkStart w:id="585" w:name="_Toc72342238"/>
      <w:bookmarkStart w:id="586" w:name="_Toc72342336"/>
      <w:bookmarkStart w:id="587" w:name="_Toc72342434"/>
      <w:bookmarkStart w:id="588" w:name="_Toc72342532"/>
      <w:bookmarkStart w:id="589" w:name="_Toc72342631"/>
      <w:bookmarkStart w:id="590" w:name="_Toc72498983"/>
      <w:bookmarkStart w:id="591" w:name="_Toc72340554"/>
      <w:bookmarkStart w:id="592" w:name="_Toc72341058"/>
      <w:bookmarkStart w:id="593" w:name="_Toc72341323"/>
      <w:bookmarkStart w:id="594" w:name="_Toc72341740"/>
      <w:bookmarkStart w:id="595" w:name="_Toc72341839"/>
      <w:bookmarkStart w:id="596" w:name="_Toc72341939"/>
      <w:bookmarkStart w:id="597" w:name="_Toc72342039"/>
      <w:bookmarkStart w:id="598" w:name="_Toc72342138"/>
      <w:bookmarkStart w:id="599" w:name="_Toc72342239"/>
      <w:bookmarkStart w:id="600" w:name="_Toc72342337"/>
      <w:bookmarkStart w:id="601" w:name="_Toc72342435"/>
      <w:bookmarkStart w:id="602" w:name="_Toc72342533"/>
      <w:bookmarkStart w:id="603" w:name="_Toc72342632"/>
      <w:bookmarkStart w:id="604" w:name="_Toc72498984"/>
      <w:bookmarkStart w:id="605" w:name="_Toc72340555"/>
      <w:bookmarkStart w:id="606" w:name="_Toc72341059"/>
      <w:bookmarkStart w:id="607" w:name="_Toc72341324"/>
      <w:bookmarkStart w:id="608" w:name="_Toc72341741"/>
      <w:bookmarkStart w:id="609" w:name="_Toc72341840"/>
      <w:bookmarkStart w:id="610" w:name="_Toc72341940"/>
      <w:bookmarkStart w:id="611" w:name="_Toc72342040"/>
      <w:bookmarkStart w:id="612" w:name="_Toc72342139"/>
      <w:bookmarkStart w:id="613" w:name="_Toc72342240"/>
      <w:bookmarkStart w:id="614" w:name="_Toc72342338"/>
      <w:bookmarkStart w:id="615" w:name="_Toc72342436"/>
      <w:bookmarkStart w:id="616" w:name="_Toc72342534"/>
      <w:bookmarkStart w:id="617" w:name="_Toc72342633"/>
      <w:bookmarkStart w:id="618" w:name="_Toc72498985"/>
      <w:bookmarkStart w:id="619" w:name="_Toc72340556"/>
      <w:bookmarkStart w:id="620" w:name="_Toc72341060"/>
      <w:bookmarkStart w:id="621" w:name="_Toc72341325"/>
      <w:bookmarkStart w:id="622" w:name="_Toc72341742"/>
      <w:bookmarkStart w:id="623" w:name="_Toc72341841"/>
      <w:bookmarkStart w:id="624" w:name="_Toc72341941"/>
      <w:bookmarkStart w:id="625" w:name="_Toc72342041"/>
      <w:bookmarkStart w:id="626" w:name="_Toc72342140"/>
      <w:bookmarkStart w:id="627" w:name="_Toc72342241"/>
      <w:bookmarkStart w:id="628" w:name="_Toc72342339"/>
      <w:bookmarkStart w:id="629" w:name="_Toc72342437"/>
      <w:bookmarkStart w:id="630" w:name="_Toc72342535"/>
      <w:bookmarkStart w:id="631" w:name="_Toc72342634"/>
      <w:bookmarkStart w:id="632" w:name="_Toc72498986"/>
      <w:bookmarkStart w:id="633" w:name="_Toc72340557"/>
      <w:bookmarkStart w:id="634" w:name="_Toc72341061"/>
      <w:bookmarkStart w:id="635" w:name="_Toc72341326"/>
      <w:bookmarkStart w:id="636" w:name="_Toc72341743"/>
      <w:bookmarkStart w:id="637" w:name="_Toc72341842"/>
      <w:bookmarkStart w:id="638" w:name="_Toc72341942"/>
      <w:bookmarkStart w:id="639" w:name="_Toc72342042"/>
      <w:bookmarkStart w:id="640" w:name="_Toc72342141"/>
      <w:bookmarkStart w:id="641" w:name="_Toc72342242"/>
      <w:bookmarkStart w:id="642" w:name="_Toc72342340"/>
      <w:bookmarkStart w:id="643" w:name="_Toc72342438"/>
      <w:bookmarkStart w:id="644" w:name="_Toc72342536"/>
      <w:bookmarkStart w:id="645" w:name="_Toc72342635"/>
      <w:bookmarkStart w:id="646" w:name="_Toc72498987"/>
      <w:bookmarkStart w:id="647" w:name="_Toc72340558"/>
      <w:bookmarkStart w:id="648" w:name="_Toc72341062"/>
      <w:bookmarkStart w:id="649" w:name="_Toc72341327"/>
      <w:bookmarkStart w:id="650" w:name="_Toc72341744"/>
      <w:bookmarkStart w:id="651" w:name="_Toc72341843"/>
      <w:bookmarkStart w:id="652" w:name="_Toc72341943"/>
      <w:bookmarkStart w:id="653" w:name="_Toc72342043"/>
      <w:bookmarkStart w:id="654" w:name="_Toc72342142"/>
      <w:bookmarkStart w:id="655" w:name="_Toc72342243"/>
      <w:bookmarkStart w:id="656" w:name="_Toc72342341"/>
      <w:bookmarkStart w:id="657" w:name="_Toc72342439"/>
      <w:bookmarkStart w:id="658" w:name="_Toc72342537"/>
      <w:bookmarkStart w:id="659" w:name="_Toc72342636"/>
      <w:bookmarkStart w:id="660" w:name="_Toc72498988"/>
      <w:bookmarkStart w:id="661" w:name="_Toc72340559"/>
      <w:bookmarkStart w:id="662" w:name="_Toc72341063"/>
      <w:bookmarkStart w:id="663" w:name="_Toc72341328"/>
      <w:bookmarkStart w:id="664" w:name="_Toc72341745"/>
      <w:bookmarkStart w:id="665" w:name="_Toc72341844"/>
      <w:bookmarkStart w:id="666" w:name="_Toc72341944"/>
      <w:bookmarkStart w:id="667" w:name="_Toc72342044"/>
      <w:bookmarkStart w:id="668" w:name="_Toc72342143"/>
      <w:bookmarkStart w:id="669" w:name="_Toc72342244"/>
      <w:bookmarkStart w:id="670" w:name="_Toc72342342"/>
      <w:bookmarkStart w:id="671" w:name="_Toc72342440"/>
      <w:bookmarkStart w:id="672" w:name="_Toc72342538"/>
      <w:bookmarkStart w:id="673" w:name="_Toc72342637"/>
      <w:bookmarkStart w:id="674" w:name="_Toc72498989"/>
      <w:bookmarkStart w:id="675" w:name="_Toc72340560"/>
      <w:bookmarkStart w:id="676" w:name="_Toc72341064"/>
      <w:bookmarkStart w:id="677" w:name="_Toc72341329"/>
      <w:bookmarkStart w:id="678" w:name="_Toc72341746"/>
      <w:bookmarkStart w:id="679" w:name="_Toc72341845"/>
      <w:bookmarkStart w:id="680" w:name="_Toc72341945"/>
      <w:bookmarkStart w:id="681" w:name="_Toc72342045"/>
      <w:bookmarkStart w:id="682" w:name="_Toc72342144"/>
      <w:bookmarkStart w:id="683" w:name="_Toc72342245"/>
      <w:bookmarkStart w:id="684" w:name="_Toc72342343"/>
      <w:bookmarkStart w:id="685" w:name="_Toc72342441"/>
      <w:bookmarkStart w:id="686" w:name="_Toc72342539"/>
      <w:bookmarkStart w:id="687" w:name="_Toc72342638"/>
      <w:bookmarkStart w:id="688" w:name="_Toc72498990"/>
      <w:bookmarkStart w:id="689" w:name="_Toc72340561"/>
      <w:bookmarkStart w:id="690" w:name="_Toc72341065"/>
      <w:bookmarkStart w:id="691" w:name="_Toc72341330"/>
      <w:bookmarkStart w:id="692" w:name="_Toc72341747"/>
      <w:bookmarkStart w:id="693" w:name="_Toc72341846"/>
      <w:bookmarkStart w:id="694" w:name="_Toc72341946"/>
      <w:bookmarkStart w:id="695" w:name="_Toc72342046"/>
      <w:bookmarkStart w:id="696" w:name="_Toc72342145"/>
      <w:bookmarkStart w:id="697" w:name="_Toc72342246"/>
      <w:bookmarkStart w:id="698" w:name="_Toc72342344"/>
      <w:bookmarkStart w:id="699" w:name="_Toc72342442"/>
      <w:bookmarkStart w:id="700" w:name="_Toc72342540"/>
      <w:bookmarkStart w:id="701" w:name="_Toc72342639"/>
      <w:bookmarkStart w:id="702" w:name="_Toc72498991"/>
      <w:bookmarkStart w:id="703" w:name="_Toc72340562"/>
      <w:bookmarkStart w:id="704" w:name="_Toc72341066"/>
      <w:bookmarkStart w:id="705" w:name="_Toc72341331"/>
      <w:bookmarkStart w:id="706" w:name="_Toc72341748"/>
      <w:bookmarkStart w:id="707" w:name="_Toc72341847"/>
      <w:bookmarkStart w:id="708" w:name="_Toc72341947"/>
      <w:bookmarkStart w:id="709" w:name="_Toc72342047"/>
      <w:bookmarkStart w:id="710" w:name="_Toc72342146"/>
      <w:bookmarkStart w:id="711" w:name="_Toc72342247"/>
      <w:bookmarkStart w:id="712" w:name="_Toc72342345"/>
      <w:bookmarkStart w:id="713" w:name="_Toc72342443"/>
      <w:bookmarkStart w:id="714" w:name="_Toc72342541"/>
      <w:bookmarkStart w:id="715" w:name="_Toc72342640"/>
      <w:bookmarkStart w:id="716" w:name="_Toc72498992"/>
      <w:bookmarkStart w:id="717" w:name="_Toc72340563"/>
      <w:bookmarkStart w:id="718" w:name="_Toc72341067"/>
      <w:bookmarkStart w:id="719" w:name="_Toc72341332"/>
      <w:bookmarkStart w:id="720" w:name="_Toc72341749"/>
      <w:bookmarkStart w:id="721" w:name="_Toc72341848"/>
      <w:bookmarkStart w:id="722" w:name="_Toc72341948"/>
      <w:bookmarkStart w:id="723" w:name="_Toc72342048"/>
      <w:bookmarkStart w:id="724" w:name="_Toc72342147"/>
      <w:bookmarkStart w:id="725" w:name="_Toc72342248"/>
      <w:bookmarkStart w:id="726" w:name="_Toc72342346"/>
      <w:bookmarkStart w:id="727" w:name="_Toc72342444"/>
      <w:bookmarkStart w:id="728" w:name="_Toc72342542"/>
      <w:bookmarkStart w:id="729" w:name="_Toc72342641"/>
      <w:bookmarkStart w:id="730" w:name="_Toc72498993"/>
      <w:bookmarkStart w:id="731" w:name="_Toc72340564"/>
      <w:bookmarkStart w:id="732" w:name="_Toc72341068"/>
      <w:bookmarkStart w:id="733" w:name="_Toc72341333"/>
      <w:bookmarkStart w:id="734" w:name="_Toc72341750"/>
      <w:bookmarkStart w:id="735" w:name="_Toc72341849"/>
      <w:bookmarkStart w:id="736" w:name="_Toc72341949"/>
      <w:bookmarkStart w:id="737" w:name="_Toc72342049"/>
      <w:bookmarkStart w:id="738" w:name="_Toc72342148"/>
      <w:bookmarkStart w:id="739" w:name="_Toc72342249"/>
      <w:bookmarkStart w:id="740" w:name="_Toc72342347"/>
      <w:bookmarkStart w:id="741" w:name="_Toc72342445"/>
      <w:bookmarkStart w:id="742" w:name="_Toc72342543"/>
      <w:bookmarkStart w:id="743" w:name="_Toc72342642"/>
      <w:bookmarkStart w:id="744" w:name="_Toc72498994"/>
      <w:bookmarkStart w:id="745" w:name="_Toc72340565"/>
      <w:bookmarkStart w:id="746" w:name="_Toc72341069"/>
      <w:bookmarkStart w:id="747" w:name="_Toc72341334"/>
      <w:bookmarkStart w:id="748" w:name="_Toc72341751"/>
      <w:bookmarkStart w:id="749" w:name="_Toc72341850"/>
      <w:bookmarkStart w:id="750" w:name="_Toc72341950"/>
      <w:bookmarkStart w:id="751" w:name="_Toc72342050"/>
      <w:bookmarkStart w:id="752" w:name="_Toc72342149"/>
      <w:bookmarkStart w:id="753" w:name="_Toc72342250"/>
      <w:bookmarkStart w:id="754" w:name="_Toc72342348"/>
      <w:bookmarkStart w:id="755" w:name="_Toc72342446"/>
      <w:bookmarkStart w:id="756" w:name="_Toc72342544"/>
      <w:bookmarkStart w:id="757" w:name="_Toc72342643"/>
      <w:bookmarkStart w:id="758" w:name="_Toc72498995"/>
      <w:bookmarkStart w:id="759" w:name="_Toc72340566"/>
      <w:bookmarkStart w:id="760" w:name="_Toc72341070"/>
      <w:bookmarkStart w:id="761" w:name="_Toc72341335"/>
      <w:bookmarkStart w:id="762" w:name="_Toc72341752"/>
      <w:bookmarkStart w:id="763" w:name="_Toc72341851"/>
      <w:bookmarkStart w:id="764" w:name="_Toc72341951"/>
      <w:bookmarkStart w:id="765" w:name="_Toc72342051"/>
      <w:bookmarkStart w:id="766" w:name="_Toc72342150"/>
      <w:bookmarkStart w:id="767" w:name="_Toc72342251"/>
      <w:bookmarkStart w:id="768" w:name="_Toc72342349"/>
      <w:bookmarkStart w:id="769" w:name="_Toc72342447"/>
      <w:bookmarkStart w:id="770" w:name="_Toc72342545"/>
      <w:bookmarkStart w:id="771" w:name="_Toc72342644"/>
      <w:bookmarkStart w:id="772" w:name="_Toc72498996"/>
      <w:bookmarkStart w:id="773" w:name="_Toc72340567"/>
      <w:bookmarkStart w:id="774" w:name="_Toc72341071"/>
      <w:bookmarkStart w:id="775" w:name="_Toc72341336"/>
      <w:bookmarkStart w:id="776" w:name="_Toc72341753"/>
      <w:bookmarkStart w:id="777" w:name="_Toc72341852"/>
      <w:bookmarkStart w:id="778" w:name="_Toc72341952"/>
      <w:bookmarkStart w:id="779" w:name="_Toc72342052"/>
      <w:bookmarkStart w:id="780" w:name="_Toc72342151"/>
      <w:bookmarkStart w:id="781" w:name="_Toc72342252"/>
      <w:bookmarkStart w:id="782" w:name="_Toc72342350"/>
      <w:bookmarkStart w:id="783" w:name="_Toc72342448"/>
      <w:bookmarkStart w:id="784" w:name="_Toc72342546"/>
      <w:bookmarkStart w:id="785" w:name="_Toc72342645"/>
      <w:bookmarkStart w:id="786" w:name="_Toc72498997"/>
      <w:bookmarkStart w:id="787" w:name="_Toc72340568"/>
      <w:bookmarkStart w:id="788" w:name="_Toc72341072"/>
      <w:bookmarkStart w:id="789" w:name="_Toc72341337"/>
      <w:bookmarkStart w:id="790" w:name="_Toc72341754"/>
      <w:bookmarkStart w:id="791" w:name="_Toc72341853"/>
      <w:bookmarkStart w:id="792" w:name="_Toc72341953"/>
      <w:bookmarkStart w:id="793" w:name="_Toc72342053"/>
      <w:bookmarkStart w:id="794" w:name="_Toc72342152"/>
      <w:bookmarkStart w:id="795" w:name="_Toc72342253"/>
      <w:bookmarkStart w:id="796" w:name="_Toc72342351"/>
      <w:bookmarkStart w:id="797" w:name="_Toc72342449"/>
      <w:bookmarkStart w:id="798" w:name="_Toc72342547"/>
      <w:bookmarkStart w:id="799" w:name="_Toc72342646"/>
      <w:bookmarkStart w:id="800" w:name="_Toc72498998"/>
      <w:bookmarkStart w:id="801" w:name="_Toc10757811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t xml:space="preserve">I.4 STRAIPSNIS. </w:t>
      </w:r>
      <w:r w:rsidR="00F10621">
        <w:t>ATASKAITŲ TEIKIMO IR MOKĖJIMO TVARKA</w:t>
      </w:r>
      <w:r w:rsidR="00F10621">
        <w:rPr>
          <w:rStyle w:val="FootnoteReference"/>
        </w:rPr>
        <w:footnoteReference w:id="4"/>
      </w:r>
      <w:bookmarkEnd w:id="801"/>
    </w:p>
    <w:p w14:paraId="60E4CBAB" w14:textId="77777777" w:rsidR="00F10621" w:rsidRPr="00712B34" w:rsidRDefault="00F10621" w:rsidP="00F10621">
      <w:pPr>
        <w:spacing w:after="0" w:line="240" w:lineRule="auto"/>
        <w:jc w:val="both"/>
        <w:rPr>
          <w:rFonts w:ascii="Times New Roman" w:hAnsi="Times New Roman"/>
          <w:sz w:val="24"/>
        </w:rPr>
      </w:pPr>
    </w:p>
    <w:p w14:paraId="60E4CBAC" w14:textId="239A4A3C" w:rsidR="00F10621" w:rsidRPr="003F7876" w:rsidRDefault="00F10621">
      <w:pPr>
        <w:pStyle w:val="Heading2"/>
        <w:rPr>
          <w:rStyle w:val="paragraphpartIIChar"/>
          <w:rFonts w:eastAsia="Arial Unicode MS"/>
          <w:i w:val="0"/>
          <w:iCs w:val="0"/>
        </w:rPr>
      </w:pPr>
      <w:bookmarkStart w:id="802" w:name="_Toc107578112"/>
      <w:r>
        <w:rPr>
          <w:rStyle w:val="paragraphpartIIChar"/>
          <w:rFonts w:eastAsia="Arial Unicode MS"/>
          <w:i w:val="0"/>
        </w:rPr>
        <w:t>I.4.1 Atliktini mokėjimai</w:t>
      </w:r>
      <w:bookmarkEnd w:id="802"/>
    </w:p>
    <w:p w14:paraId="60E4CBAD" w14:textId="77777777" w:rsidR="00F10621" w:rsidRPr="003F7876" w:rsidRDefault="00F10621" w:rsidP="003F7876">
      <w:pPr>
        <w:suppressAutoHyphens w:val="0"/>
        <w:spacing w:before="100" w:beforeAutospacing="1" w:after="0" w:afterAutospacing="1" w:line="240" w:lineRule="auto"/>
        <w:jc w:val="both"/>
        <w:rPr>
          <w:rFonts w:ascii="Times New Roman" w:eastAsia="Times New Roman" w:hAnsi="Times New Roman"/>
          <w:sz w:val="24"/>
          <w:szCs w:val="24"/>
        </w:rPr>
      </w:pPr>
      <w:r>
        <w:rPr>
          <w:rFonts w:ascii="Times New Roman" w:hAnsi="Times New Roman"/>
          <w:sz w:val="24"/>
        </w:rPr>
        <w:t>NA turi atlikti šiuos mokėjimus gavėjui:</w:t>
      </w:r>
    </w:p>
    <w:p w14:paraId="60E4CBAE" w14:textId="2CC90780" w:rsidR="00F10621" w:rsidRPr="003F7876" w:rsidRDefault="00F10621" w:rsidP="0031351F">
      <w:pPr>
        <w:suppressAutoHyphens w:val="0"/>
        <w:ind w:left="709"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pirmąjį išankstinio finansavimo mokėjimą;</w:t>
      </w:r>
    </w:p>
    <w:p w14:paraId="60B11E0D" w14:textId="77777777" w:rsidR="00C51857" w:rsidRDefault="00C51857" w:rsidP="00C51857">
      <w:pPr>
        <w:suppressAutoHyphens w:val="0"/>
        <w:ind w:left="709"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w:t>
      </w:r>
      <w:r>
        <w:rPr>
          <w:rFonts w:ascii="Times New Roman" w:hAnsi="Times New Roman"/>
          <w:i/>
          <w:sz w:val="24"/>
          <w:highlight w:val="lightGray"/>
          <w:shd w:val="clear" w:color="auto" w:fill="00FFFF"/>
        </w:rPr>
        <w:t xml:space="preserve">NA turi pasirinkti šį variantą, jei </w:t>
      </w:r>
      <w:r>
        <w:rPr>
          <w:rFonts w:ascii="Times New Roman" w:hAnsi="Times New Roman"/>
          <w:sz w:val="24"/>
        </w:rPr>
        <w:t>numatomas tolesnis išankstinio finansavimo mokėjimas] [</w:t>
      </w:r>
      <w:r>
        <w:rPr>
          <w:rFonts w:ascii="Times New Roman" w:hAnsi="Times New Roman"/>
          <w:sz w:val="24"/>
          <w:highlight w:val="lightGray"/>
        </w:rPr>
        <w:t>antras][trečias][ketvirtas][ir t. t.</w:t>
      </w:r>
      <w:r>
        <w:rPr>
          <w:rFonts w:ascii="Times New Roman" w:hAnsi="Times New Roman"/>
          <w:sz w:val="24"/>
        </w:rPr>
        <w:t>] išankstinio finansavimo mokėjimą (-us), atliekamą (-us) remiantis I.4.3 straipsnyje nurodytu prašymu atlikti tolesnį išankstinio finansavimo mokėjimą;</w:t>
      </w:r>
    </w:p>
    <w:p w14:paraId="60E4CBB0" w14:textId="10AA7C28" w:rsidR="00F10621" w:rsidRPr="003F7876" w:rsidRDefault="00F10621" w:rsidP="0031351F">
      <w:pPr>
        <w:suppressAutoHyphens w:val="0"/>
        <w:ind w:left="709"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vieną likučio išmokėjimą, atliekamą remiantis I.4.4 straipsnyje nurodytu prašymu išmokėti likutį.</w:t>
      </w:r>
    </w:p>
    <w:p w14:paraId="4F8DA5B3" w14:textId="5B21D704" w:rsidR="00B045C3" w:rsidRPr="00490C76" w:rsidRDefault="00F10621" w:rsidP="00490C76">
      <w:pPr>
        <w:pStyle w:val="Heading2"/>
        <w:rPr>
          <w:rStyle w:val="paragraphpartIIChar"/>
          <w:rFonts w:eastAsia="Arial Unicode MS"/>
        </w:rPr>
      </w:pPr>
      <w:bookmarkStart w:id="803" w:name="_Toc107578113"/>
      <w:r>
        <w:rPr>
          <w:rStyle w:val="paragraphpartIIChar"/>
          <w:rFonts w:eastAsia="Arial Unicode MS"/>
        </w:rPr>
        <w:t>I.4.2 Išankstinio finansavimo mokėjimas</w:t>
      </w:r>
      <w:bookmarkEnd w:id="803"/>
    </w:p>
    <w:p w14:paraId="0CD27935" w14:textId="77777777" w:rsidR="006630BE" w:rsidRPr="00FF74D5" w:rsidRDefault="006630BE" w:rsidP="003F7876">
      <w:pPr>
        <w:spacing w:after="0" w:line="240" w:lineRule="auto"/>
        <w:jc w:val="both"/>
      </w:pPr>
    </w:p>
    <w:p w14:paraId="47FD73BA" w14:textId="73C731CD" w:rsidR="00E87BD6" w:rsidRPr="003F7876" w:rsidRDefault="00F10621" w:rsidP="003F7876">
      <w:pPr>
        <w:spacing w:after="0" w:line="240" w:lineRule="auto"/>
        <w:jc w:val="both"/>
        <w:rPr>
          <w:rFonts w:ascii="Times New Roman" w:hAnsi="Times New Roman"/>
          <w:sz w:val="24"/>
          <w:szCs w:val="24"/>
        </w:rPr>
      </w:pPr>
      <w:r>
        <w:rPr>
          <w:rFonts w:ascii="Times New Roman" w:hAnsi="Times New Roman"/>
          <w:sz w:val="24"/>
        </w:rPr>
        <w:t>Išankstinio finansavimo tikslas – suteikti gavėjui apyvartinių lėšų. Išankstinio finansavimo lėšos tebėra NA nuosavybė iki likučio išmokėjimo.</w:t>
      </w:r>
    </w:p>
    <w:p w14:paraId="60E4CBB4" w14:textId="6C1AC0F4" w:rsidR="009A18E8" w:rsidRPr="00480642" w:rsidRDefault="009A18E8" w:rsidP="009A18E8">
      <w:pPr>
        <w:spacing w:after="0" w:line="240" w:lineRule="auto"/>
        <w:jc w:val="both"/>
        <w:rPr>
          <w:rFonts w:ascii="Times New Roman" w:hAnsi="Times New Roman"/>
          <w:bCs/>
          <w:sz w:val="24"/>
          <w:szCs w:val="24"/>
        </w:rPr>
      </w:pPr>
    </w:p>
    <w:p w14:paraId="60E4CBB5" w14:textId="59695171" w:rsidR="00F10621" w:rsidRPr="003F7876" w:rsidRDefault="00F10621" w:rsidP="003F7876">
      <w:pPr>
        <w:spacing w:after="0" w:line="240" w:lineRule="auto"/>
        <w:jc w:val="both"/>
        <w:rPr>
          <w:rFonts w:ascii="Times New Roman" w:hAnsi="Times New Roman"/>
          <w:sz w:val="24"/>
          <w:szCs w:val="24"/>
        </w:rPr>
      </w:pPr>
      <w:r>
        <w:rPr>
          <w:rFonts w:ascii="Times New Roman" w:hAnsi="Times New Roman"/>
          <w:sz w:val="24"/>
        </w:rPr>
        <w:t>[</w:t>
      </w:r>
      <w:r>
        <w:rPr>
          <w:rFonts w:ascii="Times New Roman" w:hAnsi="Times New Roman"/>
          <w:i/>
          <w:sz w:val="24"/>
        </w:rPr>
        <w:t>Šis variantas pasirenkamas, jeigu NA reikalauja suteikti išankstinio finansavimo garantiją:</w:t>
      </w:r>
      <w:r>
        <w:rPr>
          <w:rFonts w:ascii="Times New Roman" w:hAnsi="Times New Roman"/>
          <w:sz w:val="24"/>
          <w:highlight w:val="lightGray"/>
        </w:rPr>
        <w:t xml:space="preserve"> </w:t>
      </w:r>
      <w:r>
        <w:rPr>
          <w:rFonts w:ascii="Times New Roman" w:hAnsi="Times New Roman"/>
          <w:sz w:val="24"/>
        </w:rPr>
        <w:t>Pirmasis išankstinio finansavimo mokėjimas atliekamas, kai NA gauna finansinę garantiją, atitinkančią šias sąlygas:</w:t>
      </w:r>
    </w:p>
    <w:p w14:paraId="60E4CBB6" w14:textId="04EE3099" w:rsidR="00560554" w:rsidRPr="00712B34" w:rsidRDefault="00560554" w:rsidP="00560554">
      <w:pPr>
        <w:spacing w:after="0" w:line="240" w:lineRule="auto"/>
        <w:jc w:val="both"/>
        <w:rPr>
          <w:rFonts w:ascii="Times New Roman" w:hAnsi="Times New Roman"/>
          <w:sz w:val="24"/>
        </w:rPr>
      </w:pPr>
    </w:p>
    <w:p w14:paraId="60E4CBB7" w14:textId="38664D91" w:rsidR="00560554" w:rsidRPr="003F7876" w:rsidRDefault="00560554" w:rsidP="003F7876">
      <w:pPr>
        <w:numPr>
          <w:ilvl w:val="0"/>
          <w:numId w:val="31"/>
        </w:numPr>
        <w:tabs>
          <w:tab w:val="clear" w:pos="360"/>
          <w:tab w:val="num" w:pos="567"/>
        </w:tabs>
        <w:suppressAutoHyphens w:val="0"/>
        <w:spacing w:after="0" w:line="240" w:lineRule="auto"/>
        <w:ind w:left="567" w:hanging="567"/>
        <w:jc w:val="both"/>
        <w:rPr>
          <w:rFonts w:ascii="Times New Roman" w:hAnsi="Times New Roman"/>
          <w:sz w:val="24"/>
          <w:szCs w:val="24"/>
        </w:rPr>
      </w:pPr>
      <w:r>
        <w:rPr>
          <w:rFonts w:ascii="Times New Roman" w:hAnsi="Times New Roman"/>
          <w:sz w:val="24"/>
        </w:rPr>
        <w:t>ją suteikia bankas ar patvirtinta finansų įstaiga arba, jei gavėjas to prašo ir NA su tuo sutinka, ją gali suteikti trečioji šalis;</w:t>
      </w:r>
    </w:p>
    <w:p w14:paraId="60E4CBB8" w14:textId="06C1DF99" w:rsidR="00560554" w:rsidRPr="00480642" w:rsidRDefault="00560554" w:rsidP="00560554">
      <w:pPr>
        <w:suppressAutoHyphens w:val="0"/>
        <w:spacing w:after="0" w:line="240" w:lineRule="auto"/>
        <w:ind w:left="567"/>
        <w:jc w:val="both"/>
        <w:rPr>
          <w:rFonts w:ascii="Times New Roman" w:hAnsi="Times New Roman"/>
          <w:sz w:val="24"/>
        </w:rPr>
      </w:pPr>
    </w:p>
    <w:p w14:paraId="60E4CBB9" w14:textId="56AB9C30" w:rsidR="00F10621" w:rsidRPr="003F7876" w:rsidRDefault="00F10621" w:rsidP="003F7876">
      <w:pPr>
        <w:numPr>
          <w:ilvl w:val="0"/>
          <w:numId w:val="31"/>
        </w:numPr>
        <w:tabs>
          <w:tab w:val="clear" w:pos="360"/>
          <w:tab w:val="num" w:pos="567"/>
        </w:tabs>
        <w:suppressAutoHyphens w:val="0"/>
        <w:spacing w:after="0" w:line="240" w:lineRule="auto"/>
        <w:ind w:left="567" w:hanging="567"/>
        <w:jc w:val="both"/>
        <w:rPr>
          <w:rFonts w:ascii="Times New Roman" w:hAnsi="Times New Roman"/>
          <w:sz w:val="24"/>
          <w:szCs w:val="24"/>
        </w:rPr>
      </w:pPr>
      <w:r>
        <w:rPr>
          <w:rFonts w:ascii="Times New Roman" w:hAnsi="Times New Roman"/>
          <w:sz w:val="24"/>
        </w:rPr>
        <w:t xml:space="preserve">garantas veikia kaip pirminio reikalavimo garantas ir nereikalaujama, kad NA pirma teiktų mokėjimo reikalavimus pagrindiniam skolininkui </w:t>
      </w:r>
      <w:r>
        <w:rPr>
          <w:rFonts w:ascii="Times New Roman" w:hAnsi="Times New Roman"/>
          <w:color w:val="000000"/>
          <w:sz w:val="24"/>
        </w:rPr>
        <w:t>(t. y. gavėjui)</w:t>
      </w:r>
      <w:r>
        <w:rPr>
          <w:rFonts w:ascii="Times New Roman" w:hAnsi="Times New Roman"/>
          <w:sz w:val="24"/>
        </w:rPr>
        <w:t>, ir</w:t>
      </w:r>
    </w:p>
    <w:p w14:paraId="60E4CBBA" w14:textId="45FE69B7" w:rsidR="00F10621" w:rsidRPr="00480642" w:rsidRDefault="00F10621" w:rsidP="00F10621">
      <w:pPr>
        <w:suppressAutoHyphens w:val="0"/>
        <w:spacing w:after="0" w:line="240" w:lineRule="auto"/>
        <w:ind w:left="567"/>
        <w:jc w:val="both"/>
        <w:rPr>
          <w:rFonts w:ascii="Times New Roman" w:hAnsi="Times New Roman"/>
          <w:sz w:val="24"/>
        </w:rPr>
      </w:pPr>
    </w:p>
    <w:p w14:paraId="60E4CBBB" w14:textId="4C2A6D7E" w:rsidR="00F10621" w:rsidRPr="003F7876" w:rsidRDefault="00F10621" w:rsidP="003F7876">
      <w:pPr>
        <w:numPr>
          <w:ilvl w:val="0"/>
          <w:numId w:val="31"/>
        </w:numPr>
        <w:tabs>
          <w:tab w:val="clear" w:pos="360"/>
          <w:tab w:val="num" w:pos="567"/>
        </w:tabs>
        <w:suppressAutoHyphens w:val="0"/>
        <w:spacing w:after="0" w:line="240" w:lineRule="auto"/>
        <w:ind w:left="567" w:hanging="567"/>
        <w:jc w:val="both"/>
        <w:rPr>
          <w:rFonts w:ascii="Times New Roman" w:hAnsi="Times New Roman"/>
          <w:b/>
          <w:bCs/>
          <w:sz w:val="24"/>
          <w:szCs w:val="24"/>
        </w:rPr>
      </w:pPr>
      <w:r>
        <w:rPr>
          <w:rFonts w:ascii="Times New Roman" w:hAnsi="Times New Roman"/>
          <w:color w:val="000000"/>
          <w:sz w:val="24"/>
        </w:rPr>
        <w:t xml:space="preserve">yra aiškiai nustatyta, kad garantija galioja iki tol, kol atitinkama išankstinio finansavimo suma išskaitoma iš NA išmokamo likučio sumos. Jeigu likučio išmokėjimo forma yra </w:t>
      </w:r>
      <w:r>
        <w:rPr>
          <w:rFonts w:ascii="Times New Roman" w:hAnsi="Times New Roman"/>
          <w:color w:val="000000"/>
          <w:sz w:val="24"/>
        </w:rPr>
        <w:lastRenderedPageBreak/>
        <w:t>lėšų susigrąžinimas, finansinė garantija turi galioti dar tris mėnesius po debetinio dokumento pateikimo gavėjui.</w:t>
      </w:r>
    </w:p>
    <w:p w14:paraId="60E4CBBC" w14:textId="7EC31C34" w:rsidR="00F10621" w:rsidRPr="00712B34" w:rsidRDefault="00F10621" w:rsidP="00F10621">
      <w:pPr>
        <w:suppressAutoHyphens w:val="0"/>
        <w:spacing w:after="0" w:line="240" w:lineRule="auto"/>
        <w:ind w:left="567"/>
        <w:jc w:val="both"/>
        <w:rPr>
          <w:rFonts w:ascii="Times New Roman" w:hAnsi="Times New Roman"/>
          <w:b/>
          <w:sz w:val="24"/>
        </w:rPr>
      </w:pPr>
    </w:p>
    <w:p w14:paraId="60E4CBBD" w14:textId="61BB3502" w:rsidR="00F10621" w:rsidRPr="003F7876" w:rsidRDefault="00F10621" w:rsidP="003F7876">
      <w:pPr>
        <w:suppressAutoHyphens w:val="0"/>
        <w:spacing w:after="0" w:line="240" w:lineRule="auto"/>
        <w:jc w:val="both"/>
        <w:rPr>
          <w:rFonts w:ascii="Times New Roman" w:hAnsi="Times New Roman"/>
          <w:b/>
          <w:bCs/>
          <w:sz w:val="24"/>
          <w:szCs w:val="24"/>
        </w:rPr>
      </w:pPr>
      <w:r>
        <w:rPr>
          <w:rFonts w:ascii="Times New Roman" w:hAnsi="Times New Roman"/>
          <w:color w:val="000000"/>
          <w:sz w:val="24"/>
        </w:rPr>
        <w:t>NA turi atsisakyti garantijos per 30 kalendorinių dienų nuo likučio išmokėjimo.]</w:t>
      </w:r>
    </w:p>
    <w:p w14:paraId="60E4CBBE" w14:textId="3ACA44EC" w:rsidR="00F10621" w:rsidRPr="00712B34" w:rsidRDefault="00F10621" w:rsidP="00F10621">
      <w:pPr>
        <w:spacing w:after="0" w:line="240" w:lineRule="auto"/>
        <w:jc w:val="both"/>
        <w:rPr>
          <w:rFonts w:ascii="Times New Roman" w:hAnsi="Times New Roman"/>
          <w:sz w:val="24"/>
          <w:szCs w:val="24"/>
        </w:rPr>
      </w:pPr>
    </w:p>
    <w:p w14:paraId="60E4CBBF" w14:textId="39B7C3B2" w:rsidR="00F10621" w:rsidRDefault="00F10621" w:rsidP="00F10621">
      <w:pPr>
        <w:spacing w:after="0" w:line="240" w:lineRule="auto"/>
        <w:jc w:val="both"/>
        <w:rPr>
          <w:rFonts w:ascii="Times New Roman" w:hAnsi="Times New Roman"/>
          <w:i/>
          <w:sz w:val="24"/>
          <w:szCs w:val="24"/>
        </w:rPr>
      </w:pPr>
      <w:r>
        <w:rPr>
          <w:rFonts w:ascii="Times New Roman" w:hAnsi="Times New Roman"/>
          <w:i/>
          <w:sz w:val="24"/>
          <w:highlight w:val="lightGray"/>
        </w:rPr>
        <w:t>[NA turi pasirinkti kurį nors iš šių variantų</w:t>
      </w:r>
      <w:r>
        <w:rPr>
          <w:rFonts w:ascii="Times New Roman" w:hAnsi="Times New Roman"/>
          <w:i/>
          <w:sz w:val="24"/>
        </w:rPr>
        <w:t>:</w:t>
      </w:r>
    </w:p>
    <w:p w14:paraId="59DB4DC4" w14:textId="4D434AB1" w:rsidR="00284C18" w:rsidRDefault="00284C18" w:rsidP="00F10621">
      <w:pPr>
        <w:spacing w:after="0" w:line="240" w:lineRule="auto"/>
        <w:jc w:val="both"/>
        <w:rPr>
          <w:rFonts w:ascii="Times New Roman" w:hAnsi="Times New Roman"/>
          <w:i/>
          <w:sz w:val="24"/>
          <w:szCs w:val="24"/>
        </w:rPr>
      </w:pPr>
    </w:p>
    <w:p w14:paraId="60E4CBC0" w14:textId="65ED854F" w:rsidR="00F10621" w:rsidRPr="00480642" w:rsidRDefault="00284C18" w:rsidP="00F10621">
      <w:pPr>
        <w:spacing w:after="0" w:line="240" w:lineRule="auto"/>
        <w:jc w:val="both"/>
        <w:rPr>
          <w:rFonts w:ascii="Times New Roman" w:hAnsi="Times New Roman"/>
          <w:sz w:val="24"/>
          <w:highlight w:val="lightGray"/>
        </w:rPr>
      </w:pPr>
      <w:r>
        <w:rPr>
          <w:rFonts w:ascii="Times New Roman" w:hAnsi="Times New Roman"/>
          <w:b/>
          <w:i/>
          <w:color w:val="0070C0"/>
          <w:sz w:val="24"/>
        </w:rPr>
        <w:t>[Variantai, jei pasirenkamas vienas išankstinio finansavimo mokėjimas</w:t>
      </w:r>
    </w:p>
    <w:p w14:paraId="60E4CBC1" w14:textId="1C351A65" w:rsidR="00F10621" w:rsidRPr="00712B34" w:rsidRDefault="00F10621" w:rsidP="00F10621">
      <w:pPr>
        <w:spacing w:after="0" w:line="240" w:lineRule="auto"/>
        <w:rPr>
          <w:rFonts w:ascii="Times New Roman" w:hAnsi="Times New Roman"/>
          <w:sz w:val="24"/>
        </w:rPr>
      </w:pPr>
    </w:p>
    <w:p w14:paraId="60E4CBC2" w14:textId="1294E9EF" w:rsidR="00212A78" w:rsidRPr="003F7876" w:rsidRDefault="00212A78">
      <w:pPr>
        <w:jc w:val="both"/>
        <w:rPr>
          <w:rFonts w:ascii="Times New Roman" w:hAnsi="Times New Roman"/>
          <w:b/>
          <w:bCs/>
          <w:sz w:val="24"/>
          <w:szCs w:val="24"/>
        </w:rPr>
      </w:pPr>
      <w:r>
        <w:rPr>
          <w:rFonts w:ascii="Times New Roman" w:hAnsi="Times New Roman"/>
          <w:b/>
          <w:sz w:val="24"/>
          <w:highlight w:val="lightGray"/>
        </w:rPr>
        <w:t>1 variantas. Vienas išankstinio finansavimo mokėjimas viena dalimi</w:t>
      </w:r>
    </w:p>
    <w:p w14:paraId="60E4CBC4" w14:textId="0B4A5D9B" w:rsidR="00212A78" w:rsidRPr="00480642" w:rsidRDefault="00212A78" w:rsidP="00212A78">
      <w:pPr>
        <w:spacing w:after="0" w:line="240" w:lineRule="auto"/>
        <w:rPr>
          <w:rFonts w:ascii="Times New Roman" w:hAnsi="Times New Roman"/>
          <w:sz w:val="24"/>
          <w:highlight w:val="lightGray"/>
        </w:rPr>
      </w:pPr>
    </w:p>
    <w:p w14:paraId="60E4CBC5" w14:textId="5C580A4D" w:rsidR="00F10621" w:rsidRPr="00480642" w:rsidRDefault="00F10621" w:rsidP="00490C76">
      <w:pPr>
        <w:spacing w:after="0" w:line="240" w:lineRule="auto"/>
        <w:jc w:val="both"/>
        <w:rPr>
          <w:rFonts w:ascii="Times New Roman" w:hAnsi="Times New Roman"/>
          <w:sz w:val="24"/>
          <w:szCs w:val="24"/>
        </w:rPr>
      </w:pPr>
      <w:r>
        <w:rPr>
          <w:rFonts w:ascii="Times New Roman" w:hAnsi="Times New Roman"/>
          <w:sz w:val="24"/>
        </w:rPr>
        <w:t>[NA per 30 kalendorinių dienų po Sutarties įsigaliojimo [arba, jei taikoma: po to, kai NA gauna [</w:t>
      </w:r>
      <w:r>
        <w:rPr>
          <w:rFonts w:ascii="Times New Roman" w:hAnsi="Times New Roman"/>
          <w:sz w:val="24"/>
          <w:highlight w:val="lightGray"/>
        </w:rPr>
        <w:t>…</w:t>
      </w:r>
      <w:r>
        <w:rPr>
          <w:rFonts w:ascii="Times New Roman" w:hAnsi="Times New Roman"/>
          <w:sz w:val="24"/>
        </w:rPr>
        <w:t>] EUR dydžio finansinę garantiją,</w:t>
      </w:r>
      <w:r>
        <w:rPr>
          <w:rStyle w:val="FootnoteReference"/>
          <w:rFonts w:ascii="Times New Roman" w:hAnsi="Times New Roman"/>
          <w:sz w:val="24"/>
          <w:szCs w:val="24"/>
        </w:rPr>
        <w:footnoteReference w:id="5"/>
      </w:r>
      <w:r>
        <w:rPr>
          <w:rFonts w:ascii="Times New Roman" w:hAnsi="Times New Roman"/>
          <w:sz w:val="24"/>
        </w:rPr>
        <w:t>], turi atlikti [</w:t>
      </w:r>
      <w:r>
        <w:rPr>
          <w:rFonts w:ascii="Times New Roman" w:hAnsi="Times New Roman"/>
          <w:sz w:val="24"/>
          <w:highlight w:val="lightGray"/>
        </w:rPr>
        <w:t>įrašyti sumą</w:t>
      </w:r>
      <w:r>
        <w:rPr>
          <w:rFonts w:ascii="Times New Roman" w:hAnsi="Times New Roman"/>
          <w:sz w:val="24"/>
        </w:rPr>
        <w:t xml:space="preserve">] EUR dydžio išankstinio finansavimo mokėjimą gavėjui, sudarantį 80 proc. didžiausios dotacijos sumos, nustatytos I.3.1 straipsnyje, išskyrus atvejus, kai taikomas II.24 straipsnis. </w:t>
      </w:r>
    </w:p>
    <w:p w14:paraId="60E4CBC7" w14:textId="0E7B0B13" w:rsidR="00212A78" w:rsidRPr="00480642" w:rsidRDefault="00212A78" w:rsidP="00F10621">
      <w:pPr>
        <w:spacing w:after="0"/>
        <w:jc w:val="both"/>
        <w:rPr>
          <w:rFonts w:ascii="Times New Roman" w:hAnsi="Times New Roman"/>
          <w:b/>
          <w:sz w:val="24"/>
          <w:szCs w:val="24"/>
        </w:rPr>
      </w:pPr>
    </w:p>
    <w:p w14:paraId="60E4CBCA" w14:textId="623175A4" w:rsidR="00212A78" w:rsidRPr="003F7876" w:rsidRDefault="00F10621" w:rsidP="003F7876">
      <w:pPr>
        <w:spacing w:after="0"/>
        <w:jc w:val="both"/>
        <w:rPr>
          <w:rFonts w:ascii="Times New Roman" w:hAnsi="Times New Roman"/>
          <w:i/>
          <w:iCs/>
          <w:sz w:val="24"/>
          <w:szCs w:val="24"/>
        </w:rPr>
      </w:pPr>
      <w:r>
        <w:rPr>
          <w:rFonts w:ascii="Times New Roman" w:hAnsi="Times New Roman"/>
          <w:b/>
          <w:sz w:val="24"/>
          <w:highlight w:val="lightGray"/>
        </w:rPr>
        <w:t>2 variantas. Vienas išankstinio finansavimo mokėjimas dviem dalimis</w:t>
      </w:r>
      <w:r>
        <w:rPr>
          <w:rFonts w:ascii="Times New Roman" w:hAnsi="Times New Roman"/>
          <w:b/>
          <w:sz w:val="24"/>
        </w:rPr>
        <w:t xml:space="preserve"> </w:t>
      </w:r>
    </w:p>
    <w:p w14:paraId="60E4CBCB" w14:textId="63553427" w:rsidR="00212A78" w:rsidRPr="00480642" w:rsidRDefault="00212A78" w:rsidP="00F10621">
      <w:pPr>
        <w:spacing w:after="0" w:line="240" w:lineRule="auto"/>
        <w:jc w:val="both"/>
        <w:rPr>
          <w:rFonts w:ascii="Times New Roman" w:hAnsi="Times New Roman"/>
          <w:sz w:val="24"/>
          <w:szCs w:val="24"/>
        </w:rPr>
      </w:pPr>
    </w:p>
    <w:p w14:paraId="60E4CBCC" w14:textId="1E7B063F"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[NA turi atlikti pirmąjį [</w:t>
      </w:r>
      <w:r>
        <w:rPr>
          <w:rFonts w:ascii="Times New Roman" w:hAnsi="Times New Roman"/>
          <w:sz w:val="24"/>
          <w:highlight w:val="lightGray"/>
        </w:rPr>
        <w:t>įrašyti sumą</w:t>
      </w:r>
      <w:r>
        <w:rPr>
          <w:rFonts w:ascii="Times New Roman" w:hAnsi="Times New Roman"/>
          <w:sz w:val="24"/>
        </w:rPr>
        <w:t>] EUR dydžio išankstinio finansavimo mokėjimą gavėjui [dviem] [trimis][keturiomis] dalimis tokia tvarka:</w:t>
      </w:r>
    </w:p>
    <w:p w14:paraId="60E4CBCD" w14:textId="6A148ACF" w:rsidR="00F10621" w:rsidRPr="00480642" w:rsidRDefault="00F10621" w:rsidP="00F10621">
      <w:pPr>
        <w:spacing w:after="0" w:line="240" w:lineRule="auto"/>
        <w:jc w:val="both"/>
        <w:rPr>
          <w:rFonts w:ascii="Times New Roman" w:hAnsi="Times New Roman"/>
          <w:sz w:val="24"/>
          <w:szCs w:val="24"/>
        </w:rPr>
      </w:pPr>
    </w:p>
    <w:p w14:paraId="2AFF0B92" w14:textId="714BA812" w:rsidR="002A2BD7" w:rsidRPr="00480642" w:rsidRDefault="00F10621" w:rsidP="00F10621">
      <w:pPr>
        <w:pStyle w:val="ListBullet"/>
        <w:tabs>
          <w:tab w:val="clear" w:pos="283"/>
          <w:tab w:val="num" w:pos="849"/>
        </w:tabs>
        <w:ind w:left="566"/>
      </w:pPr>
      <w:r>
        <w:t>Per 30 kalendorinių dienų po Sutarties įsigaliojimo [</w:t>
      </w:r>
      <w:r>
        <w:rPr>
          <w:i/>
          <w:highlight w:val="lightGray"/>
        </w:rPr>
        <w:t>arba, jeigu taikoma:</w:t>
      </w:r>
      <w:r>
        <w:t xml:space="preserve"> gavus [</w:t>
      </w:r>
      <w:r>
        <w:rPr>
          <w:highlight w:val="lightGray"/>
        </w:rPr>
        <w:t>…</w:t>
      </w:r>
      <w:r>
        <w:t>] EUR dydžio finansinę garantiją</w:t>
      </w:r>
      <w:r>
        <w:rPr>
          <w:rStyle w:val="FootnoteReference"/>
        </w:rPr>
        <w:footnoteReference w:id="6"/>
      </w:r>
      <w:r>
        <w:t>, priklausomai nuo to, kuri data paskesnė] – pirmą [</w:t>
      </w:r>
      <w:r>
        <w:rPr>
          <w:highlight w:val="lightGray"/>
        </w:rPr>
        <w:t>…</w:t>
      </w:r>
      <w:r>
        <w:t xml:space="preserve">] EUR išmoką, sudarančią </w:t>
      </w:r>
      <w:r>
        <w:rPr>
          <w:highlight w:val="lightGray"/>
        </w:rPr>
        <w:t>[NA nustato procentinį dydį nuo 40 iki 60 proc.]</w:t>
      </w:r>
      <w:r>
        <w:t xml:space="preserve"> [40–60] proc. I.3.1 straipsnyje nurodytos didžiausios dotacijos sumos, išskyrus atvejus, kai taikomas II.24.1 straipsnis.]</w:t>
      </w:r>
    </w:p>
    <w:p w14:paraId="09C94D9F" w14:textId="6B126547" w:rsidR="001F4B1F" w:rsidRDefault="00F10621" w:rsidP="00490C76">
      <w:pPr>
        <w:pStyle w:val="ListBullet"/>
        <w:tabs>
          <w:tab w:val="clear" w:pos="283"/>
          <w:tab w:val="num" w:pos="849"/>
        </w:tabs>
        <w:ind w:left="566"/>
        <w:rPr>
          <w:b/>
          <w:bCs/>
          <w:highlight w:val="lightGray"/>
        </w:rPr>
      </w:pPr>
      <w:r>
        <w:t>Iki [</w:t>
      </w:r>
      <w:r>
        <w:rPr>
          <w:highlight w:val="lightGray"/>
        </w:rPr>
        <w:t>NA įrašo datą</w:t>
      </w:r>
      <w:r>
        <w:t>] antrą [</w:t>
      </w:r>
      <w:r>
        <w:rPr>
          <w:highlight w:val="lightGray"/>
        </w:rPr>
        <w:t>…</w:t>
      </w:r>
      <w:r>
        <w:t xml:space="preserve">] EUR išmoką, sudarančią </w:t>
      </w:r>
      <w:r>
        <w:rPr>
          <w:highlight w:val="lightGray"/>
        </w:rPr>
        <w:t>[NA nustato procentinį dydį nuo 20 iki 40 proc., kurią pridėjus prie nustatyto pirmosios išmokos procentinio dydžio turėtų būti pasiekta 80 proc. sumos, nurodytos I.3.1 straipsnyje</w:t>
      </w:r>
      <w:r>
        <w:t>]  [40–20] % I.3.1 straipsnyje nurodytos didžiausios dotacijos sumos, išskyrus atvejus, kai taikomas II.24.1 straipsnis.</w:t>
      </w:r>
    </w:p>
    <w:p w14:paraId="0AB3906D" w14:textId="1E891097" w:rsidR="001F4B1F" w:rsidRDefault="001F4B1F" w:rsidP="001F4B1F">
      <w:pPr>
        <w:spacing w:after="0" w:line="240" w:lineRule="auto"/>
        <w:rPr>
          <w:rFonts w:ascii="Times New Roman" w:hAnsi="Times New Roman"/>
          <w:b/>
          <w:bCs/>
          <w:i/>
          <w:iCs/>
          <w:color w:val="0070C0"/>
          <w:sz w:val="24"/>
          <w:szCs w:val="24"/>
        </w:rPr>
      </w:pPr>
      <w:r>
        <w:rPr>
          <w:rFonts w:ascii="Times New Roman" w:hAnsi="Times New Roman"/>
          <w:b/>
          <w:i/>
          <w:color w:val="0070C0"/>
          <w:sz w:val="24"/>
        </w:rPr>
        <w:t>[Variantas, jei pasirenkami du arba tolesni išankstinio finansavimo mokėjimai:</w:t>
      </w:r>
    </w:p>
    <w:p w14:paraId="0B4E4335" w14:textId="77777777" w:rsidR="001F4B1F" w:rsidRPr="006F0CE4" w:rsidRDefault="001F4B1F" w:rsidP="001F4B1F">
      <w:pPr>
        <w:spacing w:after="0" w:line="240" w:lineRule="auto"/>
        <w:rPr>
          <w:rFonts w:ascii="Times New Roman" w:hAnsi="Times New Roman"/>
          <w:b/>
          <w:bCs/>
          <w:i/>
          <w:iCs/>
          <w:color w:val="0070C0"/>
          <w:sz w:val="24"/>
          <w:szCs w:val="24"/>
          <w:lang w:eastAsia="en-US"/>
        </w:rPr>
      </w:pPr>
    </w:p>
    <w:p w14:paraId="60E4CBD0" w14:textId="3BC43706" w:rsidR="00212A78" w:rsidRPr="003F7876" w:rsidRDefault="00F10621" w:rsidP="003F7876">
      <w:pPr>
        <w:spacing w:after="0"/>
        <w:jc w:val="both"/>
        <w:rPr>
          <w:rFonts w:ascii="Times New Roman" w:hAnsi="Times New Roman"/>
          <w:b/>
          <w:bCs/>
          <w:sz w:val="24"/>
          <w:szCs w:val="24"/>
        </w:rPr>
      </w:pPr>
      <w:r>
        <w:rPr>
          <w:rFonts w:ascii="Times New Roman" w:hAnsi="Times New Roman"/>
          <w:b/>
          <w:sz w:val="24"/>
          <w:highlight w:val="lightGray"/>
        </w:rPr>
        <w:t>3 variantas. [Du][Tolesni] išankstinio finansavimo mokėjimai su tarpinėmis ataskaitomis</w:t>
      </w:r>
    </w:p>
    <w:p w14:paraId="60E4CBD1" w14:textId="54B9D474" w:rsidR="00212A78" w:rsidRPr="00480642" w:rsidRDefault="00212A78" w:rsidP="00F10621">
      <w:pPr>
        <w:spacing w:after="0"/>
        <w:jc w:val="both"/>
        <w:rPr>
          <w:rFonts w:ascii="Times New Roman" w:hAnsi="Times New Roman"/>
          <w:sz w:val="24"/>
          <w:szCs w:val="24"/>
        </w:rPr>
      </w:pPr>
    </w:p>
    <w:p w14:paraId="60E4CBD4" w14:textId="1931D83B" w:rsidR="00F10621" w:rsidRPr="006236C7" w:rsidRDefault="00F10621" w:rsidP="003F7876">
      <w:pPr>
        <w:spacing w:after="0"/>
        <w:jc w:val="both"/>
        <w:rPr>
          <w:rFonts w:ascii="Times New Roman" w:hAnsi="Times New Roman"/>
          <w:sz w:val="24"/>
          <w:szCs w:val="24"/>
        </w:rPr>
      </w:pPr>
      <w:r>
        <w:rPr>
          <w:rFonts w:ascii="Times New Roman" w:hAnsi="Times New Roman"/>
          <w:sz w:val="24"/>
        </w:rPr>
        <w:t>NA per 30 kalendorinių dienų po Sutarties įsigaliojimo [</w:t>
      </w:r>
      <w:r>
        <w:rPr>
          <w:rFonts w:ascii="Times New Roman" w:hAnsi="Times New Roman"/>
          <w:sz w:val="24"/>
          <w:highlight w:val="lightGray"/>
        </w:rPr>
        <w:t>arba, jei taikoma</w:t>
      </w:r>
      <w:r>
        <w:rPr>
          <w:rFonts w:ascii="Times New Roman" w:hAnsi="Times New Roman"/>
          <w:sz w:val="24"/>
        </w:rPr>
        <w:t>: po to, kai NA gauna [</w:t>
      </w:r>
      <w:r>
        <w:rPr>
          <w:rFonts w:ascii="Times New Roman" w:hAnsi="Times New Roman"/>
          <w:sz w:val="24"/>
          <w:highlight w:val="lightGray"/>
        </w:rPr>
        <w:t>…</w:t>
      </w:r>
      <w:r>
        <w:rPr>
          <w:rFonts w:ascii="Times New Roman" w:hAnsi="Times New Roman"/>
          <w:sz w:val="24"/>
        </w:rPr>
        <w:t>] EUR dydžio finansinę garantiją,</w:t>
      </w:r>
      <w:r>
        <w:rPr>
          <w:rStyle w:val="FootnoteReference"/>
        </w:rPr>
        <w:footnoteReference w:id="7"/>
      </w:r>
      <w:r>
        <w:rPr>
          <w:rFonts w:ascii="Times New Roman" w:hAnsi="Times New Roman"/>
          <w:sz w:val="24"/>
        </w:rPr>
        <w:t xml:space="preserve">, priklausomai nuo to, kuri data paskesnė], turi </w:t>
      </w:r>
      <w:r>
        <w:rPr>
          <w:rFonts w:ascii="Times New Roman" w:hAnsi="Times New Roman"/>
          <w:sz w:val="24"/>
        </w:rPr>
        <w:lastRenderedPageBreak/>
        <w:t>atlikti [</w:t>
      </w:r>
      <w:r>
        <w:rPr>
          <w:rFonts w:ascii="Times New Roman" w:hAnsi="Times New Roman"/>
          <w:sz w:val="24"/>
          <w:highlight w:val="lightGray"/>
        </w:rPr>
        <w:t>įrašyti sumą</w:t>
      </w:r>
      <w:r>
        <w:rPr>
          <w:rFonts w:ascii="Times New Roman" w:hAnsi="Times New Roman"/>
          <w:sz w:val="24"/>
        </w:rPr>
        <w:t xml:space="preserve">] EUR dydžio pirmą išankstinio finansavimo mokėjimą gavėjui, sudarantį 40 proc. didžiausios dotacijos sumos, nustatytos I.3.1 straipsnyje, išskyrus atvejus, kai taikomas II.24.1 straipsnis. </w:t>
      </w:r>
    </w:p>
    <w:p w14:paraId="24F6E68C" w14:textId="4CD1C751" w:rsidR="003C7109" w:rsidRPr="006236C7" w:rsidRDefault="003C7109" w:rsidP="00F10621">
      <w:pPr>
        <w:spacing w:after="0" w:line="240" w:lineRule="auto"/>
        <w:jc w:val="both"/>
        <w:rPr>
          <w:rFonts w:ascii="Times New Roman" w:hAnsi="Times New Roman"/>
          <w:sz w:val="24"/>
        </w:rPr>
      </w:pPr>
    </w:p>
    <w:p w14:paraId="26D83C81" w14:textId="23BF2548" w:rsidR="003C7109" w:rsidRPr="003F7876" w:rsidRDefault="003C7109" w:rsidP="00F10621">
      <w:pPr>
        <w:spacing w:after="0" w:line="240" w:lineRule="auto"/>
        <w:jc w:val="both"/>
        <w:rPr>
          <w:rStyle w:val="paragraphpartIIChar"/>
          <w:rFonts w:eastAsia="Arial Unicode MS"/>
          <w:b w:val="0"/>
        </w:rPr>
      </w:pPr>
      <w:r>
        <w:rPr>
          <w:rStyle w:val="paragraphpartIIChar"/>
          <w:rFonts w:eastAsia="Calibri"/>
          <w:b w:val="0"/>
        </w:rPr>
        <w:t>NA per 60 kalendorinių dienų po to, kai gauna prašymą atlikti I.4.3 straipsnyje nurodytą antrąjį išankstinį mokėjimą[</w:t>
      </w:r>
      <w:r>
        <w:rPr>
          <w:rStyle w:val="paragraphpartIIChar"/>
          <w:rFonts w:eastAsia="Calibri"/>
          <w:b w:val="0"/>
          <w:i/>
          <w:highlight w:val="lightGray"/>
        </w:rPr>
        <w:t>arba jei taikoma</w:t>
      </w:r>
      <w:r>
        <w:rPr>
          <w:rStyle w:val="paragraphpartIIChar"/>
          <w:rFonts w:eastAsia="Calibri"/>
          <w:b w:val="0"/>
        </w:rPr>
        <w:t>, po to, kai NA gauna [</w:t>
      </w:r>
      <w:r w:rsidRPr="00712B34">
        <w:rPr>
          <w:rFonts w:ascii="Times New Roman" w:hAnsi="Times New Roman"/>
        </w:rPr>
        <w:t>įrašyti sumą</w:t>
      </w:r>
      <w:r w:rsidRPr="00712B34">
        <w:rPr>
          <w:rFonts w:ascii="Times New Roman" w:hAnsi="Times New Roman"/>
          <w:highlight w:val="lightGray"/>
        </w:rPr>
        <w:t xml:space="preserve">][…] EUR dydžio finansinę garantiją, </w:t>
      </w:r>
      <w:r w:rsidRPr="00712B34">
        <w:rPr>
          <w:rFonts w:ascii="Times New Roman" w:hAnsi="Times New Roman"/>
          <w:sz w:val="24"/>
        </w:rPr>
        <w:t>priklausomai nuo to, kuri data paskesnė</w:t>
      </w:r>
      <w:r w:rsidRPr="00712B34">
        <w:rPr>
          <w:rStyle w:val="paragraphpartIIChar"/>
          <w:rFonts w:eastAsia="Calibri"/>
          <w:b w:val="0"/>
        </w:rPr>
        <w:t xml:space="preserve">, turi atlikti antrąjį </w:t>
      </w:r>
      <w:r w:rsidRPr="00712B34">
        <w:rPr>
          <w:rStyle w:val="paragraphpartIIChar"/>
          <w:rFonts w:eastAsia="Calibri"/>
          <w:b w:val="0"/>
          <w:highlight w:val="lightGray"/>
        </w:rPr>
        <w:t>[nurodyti sumą] EUR</w:t>
      </w:r>
      <w:r w:rsidRPr="00712B34">
        <w:rPr>
          <w:rStyle w:val="paragraphpartIIChar"/>
          <w:rFonts w:eastAsia="Calibri"/>
          <w:b w:val="0"/>
        </w:rPr>
        <w:t xml:space="preserve"> išankstinio finansavimo mokėjimą gavėjui, išskyru</w:t>
      </w:r>
      <w:r>
        <w:rPr>
          <w:rStyle w:val="paragraphpartIIChar"/>
          <w:rFonts w:eastAsia="Calibri"/>
          <w:b w:val="0"/>
        </w:rPr>
        <w:t>s atvejus, kai taikomas II.24.1 arba II.24.2 straipsnis.</w:t>
      </w:r>
    </w:p>
    <w:p w14:paraId="60E4CBD5" w14:textId="2DDF12A2" w:rsidR="00F10621" w:rsidRPr="003F7876" w:rsidRDefault="00F10621" w:rsidP="00F10621">
      <w:pPr>
        <w:spacing w:after="0" w:line="240" w:lineRule="auto"/>
        <w:jc w:val="both"/>
        <w:rPr>
          <w:rStyle w:val="paragraphpartIIChar"/>
          <w:rFonts w:eastAsia="Arial Unicode MS"/>
          <w:i/>
          <w:lang w:eastAsia="ar-SA"/>
        </w:rPr>
      </w:pPr>
    </w:p>
    <w:p w14:paraId="60E4CBDB" w14:textId="09731275" w:rsidR="00F10621" w:rsidRDefault="00F10621" w:rsidP="00F10621">
      <w:pPr>
        <w:spacing w:after="0" w:line="240" w:lineRule="auto"/>
        <w:jc w:val="both"/>
        <w:rPr>
          <w:rStyle w:val="paragraphpartIIChar"/>
          <w:rFonts w:eastAsia="Arial Unicode MS"/>
          <w:i/>
          <w:lang w:eastAsia="ar-SA"/>
        </w:rPr>
      </w:pPr>
    </w:p>
    <w:p w14:paraId="1583508C" w14:textId="0526A502" w:rsidR="00181703" w:rsidRPr="003F7876" w:rsidRDefault="00181703" w:rsidP="00490C76">
      <w:pPr>
        <w:spacing w:after="0"/>
        <w:jc w:val="both"/>
        <w:rPr>
          <w:rStyle w:val="paragraphpartIIChar"/>
          <w:rFonts w:eastAsia="Arial Unicode MS"/>
          <w:i/>
        </w:rPr>
      </w:pPr>
      <w:r>
        <w:rPr>
          <w:rFonts w:ascii="Times New Roman" w:hAnsi="Times New Roman"/>
          <w:i/>
          <w:sz w:val="24"/>
        </w:rPr>
        <w:t>[</w:t>
      </w:r>
      <w:r>
        <w:rPr>
          <w:rFonts w:ascii="Times New Roman" w:hAnsi="Times New Roman"/>
          <w:i/>
          <w:sz w:val="24"/>
          <w:highlight w:val="cyan"/>
        </w:rPr>
        <w:t>Neprivaloma daugiau nei dviejų išankstinių finansavimų atveju</w:t>
      </w:r>
      <w:r>
        <w:rPr>
          <w:rFonts w:ascii="Times New Roman" w:hAnsi="Times New Roman"/>
          <w:i/>
          <w:sz w:val="24"/>
        </w:rPr>
        <w:t>]</w:t>
      </w:r>
      <w:r>
        <w:rPr>
          <w:rFonts w:ascii="Times New Roman" w:hAnsi="Times New Roman"/>
          <w:sz w:val="24"/>
        </w:rPr>
        <w:t xml:space="preserve"> </w:t>
      </w:r>
      <w:r>
        <w:rPr>
          <w:rStyle w:val="paragraphpartIIChar"/>
          <w:rFonts w:eastAsia="Calibri"/>
          <w:b w:val="0"/>
        </w:rPr>
        <w:t>[NA per 60 kalendorinių dienų po to, kai gauna prašymą atlikti I.4.4 straipsnyje nurodytą [trečią][ketvirtą] išankstinio finansavimo mokėjimą [arba, jei taikoma, po to, kai NA gauna [</w:t>
      </w:r>
      <w:r>
        <w:rPr>
          <w:rFonts w:ascii="Times New Roman" w:hAnsi="Times New Roman"/>
          <w:sz w:val="24"/>
          <w:highlight w:val="lightGray"/>
        </w:rPr>
        <w:t>įrašyti sumą</w:t>
      </w:r>
      <w:r>
        <w:rPr>
          <w:rStyle w:val="paragraphpartIIChar"/>
          <w:rFonts w:eastAsia="Calibri"/>
          <w:b w:val="0"/>
        </w:rPr>
        <w:t xml:space="preserve">] EUR finansinę garantiją, </w:t>
      </w:r>
      <w:r>
        <w:rPr>
          <w:rFonts w:ascii="Times New Roman" w:hAnsi="Times New Roman"/>
          <w:sz w:val="24"/>
        </w:rPr>
        <w:t>priklausomai nuo to, kuri data paskesnė</w:t>
      </w:r>
      <w:r>
        <w:rPr>
          <w:rStyle w:val="paragraphpartIIChar"/>
          <w:rFonts w:eastAsia="Calibri"/>
          <w:b w:val="0"/>
        </w:rPr>
        <w:t>, išskyrus atvejus, kai taikomas II.24.1 arba II.24.2 straipsnis, turi atlikti gavėjui [</w:t>
      </w:r>
      <w:r>
        <w:rPr>
          <w:rStyle w:val="paragraphpartIIChar"/>
          <w:rFonts w:eastAsia="Calibri"/>
          <w:b w:val="0"/>
          <w:highlight w:val="lightGray"/>
        </w:rPr>
        <w:t>tolesnį</w:t>
      </w:r>
      <w:r>
        <w:rPr>
          <w:rStyle w:val="paragraphpartIIChar"/>
          <w:rFonts w:eastAsia="Calibri"/>
          <w:b w:val="0"/>
        </w:rPr>
        <w:t>] [</w:t>
      </w:r>
      <w:r>
        <w:rPr>
          <w:rStyle w:val="paragraphpartIIChar"/>
          <w:rFonts w:eastAsia="Calibri"/>
          <w:b w:val="0"/>
          <w:highlight w:val="lightGray"/>
        </w:rPr>
        <w:t>įrašyti sumą</w:t>
      </w:r>
      <w:r>
        <w:rPr>
          <w:rStyle w:val="paragraphpartIIChar"/>
          <w:rFonts w:eastAsia="Calibri"/>
          <w:b w:val="0"/>
        </w:rPr>
        <w:t>] EUR išankstinio finansavimo mokėjimą.</w:t>
      </w:r>
    </w:p>
    <w:p w14:paraId="72A942D6" w14:textId="088665A1" w:rsidR="00FF74D5" w:rsidRPr="003F7876" w:rsidRDefault="00560554" w:rsidP="003F7876">
      <w:pPr>
        <w:pStyle w:val="Heading2"/>
      </w:pPr>
      <w:bookmarkStart w:id="804" w:name="_Toc107578114"/>
      <w:r>
        <w:t>I.4.3 Ataskaitų teikimas, prašymai atlikti išankstinio finansavimo mokėjimus ir tarpinės ataskaitos</w:t>
      </w:r>
      <w:bookmarkEnd w:id="804"/>
      <w:r>
        <w:rPr>
          <w:rStyle w:val="SubtitleChar"/>
          <w:rFonts w:ascii="Times New Roman" w:hAnsi="Times New Roman"/>
          <w:b/>
        </w:rPr>
        <w:t xml:space="preserve"> </w:t>
      </w:r>
      <w:r>
        <w:rPr>
          <w:rStyle w:val="paragraphpartIIChar"/>
          <w:rFonts w:eastAsia="Arial Unicode MS"/>
          <w:b/>
          <w:i w:val="0"/>
        </w:rPr>
        <w:t xml:space="preserve"> </w:t>
      </w:r>
    </w:p>
    <w:p w14:paraId="60E4CBDE" w14:textId="77136735" w:rsidR="00F10621" w:rsidRPr="006236C7" w:rsidRDefault="00F10621" w:rsidP="00F10621">
      <w:pPr>
        <w:spacing w:after="0" w:line="240" w:lineRule="auto"/>
        <w:jc w:val="both"/>
        <w:rPr>
          <w:rFonts w:ascii="Times New Roman" w:hAnsi="Times New Roman"/>
          <w:i/>
          <w:sz w:val="24"/>
          <w:szCs w:val="24"/>
          <w:highlight w:val="lightGray"/>
        </w:rPr>
      </w:pPr>
      <w:r>
        <w:rPr>
          <w:rFonts w:ascii="Times New Roman" w:hAnsi="Times New Roman"/>
          <w:i/>
          <w:sz w:val="24"/>
          <w:highlight w:val="lightGray"/>
          <w:shd w:val="clear" w:color="auto" w:fill="00FFFF"/>
        </w:rPr>
        <w:t>[</w:t>
      </w:r>
      <w:r>
        <w:rPr>
          <w:rFonts w:ascii="Times New Roman" w:hAnsi="Times New Roman"/>
          <w:i/>
          <w:sz w:val="24"/>
          <w:highlight w:val="lightGray"/>
        </w:rPr>
        <w:t xml:space="preserve">NA turi pasirinkti kurį nors iš šių penkių variantų: </w:t>
      </w:r>
    </w:p>
    <w:p w14:paraId="60E4CBDF" w14:textId="77777777" w:rsidR="00F10621" w:rsidRPr="00480642" w:rsidRDefault="00F10621" w:rsidP="00F10621">
      <w:pPr>
        <w:spacing w:after="0" w:line="240" w:lineRule="auto"/>
        <w:jc w:val="both"/>
        <w:rPr>
          <w:rFonts w:ascii="Times New Roman" w:hAnsi="Times New Roman"/>
          <w:sz w:val="24"/>
          <w:szCs w:val="24"/>
          <w:highlight w:val="lightGray"/>
        </w:rPr>
      </w:pPr>
    </w:p>
    <w:p w14:paraId="60E4CBE0" w14:textId="751B4A1C" w:rsidR="00F10621" w:rsidRPr="00712B34" w:rsidRDefault="00F10621" w:rsidP="00F10621">
      <w:pPr>
        <w:pStyle w:val="paragraph"/>
        <w:ind w:left="0" w:firstLine="0"/>
      </w:pPr>
    </w:p>
    <w:p w14:paraId="60E4CBE1" w14:textId="5542391C" w:rsidR="0008116E" w:rsidRPr="003F7876" w:rsidRDefault="00F10621" w:rsidP="003F7876">
      <w:pPr>
        <w:pStyle w:val="paragraph"/>
        <w:numPr>
          <w:ilvl w:val="1"/>
          <w:numId w:val="0"/>
        </w:numPr>
        <w:ind w:left="720" w:hanging="360"/>
        <w:rPr>
          <w:b/>
          <w:bCs/>
        </w:rPr>
      </w:pPr>
      <w:r>
        <w:rPr>
          <w:b/>
          <w:highlight w:val="lightGray"/>
        </w:rPr>
        <w:t>1 variantas. Du arba keli išankstinio finansavimo mokėjimai su viena arba keliomis tarpinėmis ataskaitomis</w:t>
      </w:r>
      <w:r>
        <w:rPr>
          <w:b/>
        </w:rPr>
        <w:t xml:space="preserve"> </w:t>
      </w:r>
    </w:p>
    <w:p w14:paraId="60E4CBE2" w14:textId="07236369" w:rsidR="006A0D1C" w:rsidRPr="00712B34" w:rsidRDefault="006A0D1C" w:rsidP="003F7876">
      <w:pPr>
        <w:pStyle w:val="paragraph"/>
        <w:ind w:left="720"/>
      </w:pPr>
    </w:p>
    <w:p w14:paraId="60E4CBE3" w14:textId="689D6B86" w:rsidR="006A0D1C" w:rsidRPr="003F7876" w:rsidRDefault="006A0D1C" w:rsidP="003F7876">
      <w:pPr>
        <w:pStyle w:val="paragraph"/>
        <w:numPr>
          <w:ilvl w:val="1"/>
          <w:numId w:val="0"/>
        </w:numPr>
        <w:ind w:left="720" w:hanging="360"/>
        <w:rPr>
          <w:i/>
          <w:iCs/>
        </w:rPr>
      </w:pPr>
      <w:r>
        <w:rPr>
          <w:i/>
        </w:rPr>
        <w:t xml:space="preserve">Taikytina I.4.2 straipsnyje nurodytam 3 variantui </w:t>
      </w:r>
    </w:p>
    <w:p w14:paraId="60E4CBE5" w14:textId="7A32DF33" w:rsidR="00F10621" w:rsidRPr="00480642" w:rsidRDefault="00F10621" w:rsidP="003F7876">
      <w:pPr>
        <w:pStyle w:val="paragraph"/>
        <w:ind w:left="720"/>
      </w:pPr>
      <w:r>
        <w:t xml:space="preserve"> </w:t>
      </w:r>
    </w:p>
    <w:p w14:paraId="60E4CBE6" w14:textId="77AB0A95" w:rsidR="00F10621" w:rsidRPr="00480642" w:rsidRDefault="00F10621" w:rsidP="003F7876">
      <w:pPr>
        <w:spacing w:after="0" w:line="240" w:lineRule="auto"/>
        <w:ind w:left="357"/>
        <w:jc w:val="both"/>
        <w:rPr>
          <w:rFonts w:ascii="Times New Roman" w:hAnsi="Times New Roman"/>
          <w:sz w:val="24"/>
          <w:szCs w:val="24"/>
        </w:rPr>
      </w:pPr>
      <w:r>
        <w:rPr>
          <w:rFonts w:ascii="Times New Roman" w:hAnsi="Times New Roman"/>
          <w:sz w:val="24"/>
        </w:rPr>
        <w:t xml:space="preserve">Iki </w:t>
      </w:r>
      <w:r>
        <w:rPr>
          <w:rFonts w:ascii="Times New Roman" w:hAnsi="Times New Roman"/>
          <w:sz w:val="24"/>
          <w:highlight w:val="lightGray"/>
          <w:shd w:val="clear" w:color="auto" w:fill="00FFFF"/>
        </w:rPr>
        <w:t>[NA įrašo datą]</w:t>
      </w:r>
      <w:r>
        <w:rPr>
          <w:vertAlign w:val="superscript"/>
        </w:rPr>
        <w:footnoteReference w:id="8"/>
      </w:r>
      <w:r>
        <w:rPr>
          <w:rFonts w:ascii="Times New Roman" w:hAnsi="Times New Roman"/>
          <w:sz w:val="24"/>
        </w:rPr>
        <w:t xml:space="preserve"> gavėjas turi pateikti prašymą dėl antro išankstinio finansavimo mokėjimo ir tarpinę projekto įgyvendinimo ataskaitą, apimančią ataskaitinį laikotarpį nuo I.2.2 straipsnyje nurodytos projekto įgyvendinimo pradžios iki [</w:t>
      </w:r>
      <w:r>
        <w:rPr>
          <w:rFonts w:ascii="Times New Roman" w:hAnsi="Times New Roman"/>
          <w:sz w:val="24"/>
          <w:highlight w:val="lightGray"/>
        </w:rPr>
        <w:t>data, kurią nustato NA</w:t>
      </w:r>
      <w:r>
        <w:rPr>
          <w:rFonts w:ascii="Times New Roman" w:hAnsi="Times New Roman"/>
          <w:sz w:val="24"/>
        </w:rPr>
        <w:t xml:space="preserve">]. </w:t>
      </w:r>
    </w:p>
    <w:p w14:paraId="60E4CBE7" w14:textId="1C885E75" w:rsidR="00F10621" w:rsidRPr="00712B34" w:rsidRDefault="00F10621" w:rsidP="003F7876">
      <w:pPr>
        <w:spacing w:after="0" w:line="240" w:lineRule="auto"/>
        <w:ind w:left="357"/>
        <w:jc w:val="both"/>
        <w:rPr>
          <w:rFonts w:ascii="Times New Roman" w:hAnsi="Times New Roman"/>
          <w:sz w:val="24"/>
          <w:szCs w:val="24"/>
        </w:rPr>
      </w:pPr>
    </w:p>
    <w:p w14:paraId="110CF38A" w14:textId="77777777" w:rsidR="00D240BA" w:rsidRPr="00D240BA" w:rsidRDefault="00D240BA" w:rsidP="00D240BA">
      <w:pPr>
        <w:spacing w:after="0" w:line="240" w:lineRule="auto"/>
        <w:ind w:left="357"/>
        <w:jc w:val="both"/>
        <w:rPr>
          <w:rFonts w:ascii="Times New Roman" w:hAnsi="Times New Roman"/>
          <w:sz w:val="24"/>
          <w:szCs w:val="24"/>
        </w:rPr>
      </w:pPr>
      <w:r>
        <w:rPr>
          <w:rFonts w:ascii="Times New Roman" w:hAnsi="Times New Roman"/>
          <w:sz w:val="24"/>
        </w:rPr>
        <w:t>Prie prašymo turi būti pridėti šie dokumentai:</w:t>
      </w:r>
    </w:p>
    <w:p w14:paraId="38E79ECB" w14:textId="64FC450A" w:rsidR="00D240BA" w:rsidRPr="007D59C9" w:rsidRDefault="00D240BA" w:rsidP="007D59C9">
      <w:pPr>
        <w:pStyle w:val="ListParagraph"/>
        <w:numPr>
          <w:ilvl w:val="0"/>
          <w:numId w:val="123"/>
        </w:numPr>
        <w:spacing w:after="0" w:line="240" w:lineRule="auto"/>
        <w:jc w:val="both"/>
        <w:rPr>
          <w:rFonts w:ascii="Times New Roman" w:hAnsi="Times New Roman"/>
          <w:sz w:val="24"/>
          <w:szCs w:val="24"/>
        </w:rPr>
      </w:pPr>
      <w:r>
        <w:rPr>
          <w:rFonts w:ascii="Times New Roman" w:hAnsi="Times New Roman"/>
          <w:i/>
          <w:sz w:val="24"/>
        </w:rPr>
        <w:t>projekto</w:t>
      </w:r>
      <w:r>
        <w:rPr>
          <w:rFonts w:ascii="Times New Roman" w:hAnsi="Times New Roman"/>
          <w:sz w:val="24"/>
        </w:rPr>
        <w:t xml:space="preserve"> įgyvendinimo ataskaita;</w:t>
      </w:r>
    </w:p>
    <w:p w14:paraId="28C3AB4A" w14:textId="20AC2938" w:rsidR="00D240BA" w:rsidRPr="007D59C9" w:rsidRDefault="00D240BA" w:rsidP="007D59C9">
      <w:pPr>
        <w:pStyle w:val="ListParagraph"/>
        <w:numPr>
          <w:ilvl w:val="0"/>
          <w:numId w:val="123"/>
        </w:numPr>
        <w:spacing w:after="0" w:line="240" w:lineRule="auto"/>
        <w:jc w:val="both"/>
        <w:rPr>
          <w:rFonts w:ascii="Times New Roman" w:hAnsi="Times New Roman"/>
          <w:sz w:val="24"/>
          <w:szCs w:val="24"/>
        </w:rPr>
      </w:pPr>
      <w:r>
        <w:rPr>
          <w:rFonts w:ascii="Times New Roman" w:hAnsi="Times New Roman"/>
          <w:sz w:val="24"/>
        </w:rPr>
        <w:t>ankstesnės išankstinio finansavimo dalies, kuri buvo panaudota projekto išlaidoms padengti, sumos panaudojimo ataskaita (toliau – ankstesnės išankstinio finansavimo dalies panaudojimo ataskaita) ir</w:t>
      </w:r>
    </w:p>
    <w:p w14:paraId="369C6461" w14:textId="1BEA99B0" w:rsidR="00D240BA" w:rsidRPr="007D59C9" w:rsidRDefault="00D240BA" w:rsidP="007D59C9">
      <w:pPr>
        <w:pStyle w:val="ListParagraph"/>
        <w:numPr>
          <w:ilvl w:val="0"/>
          <w:numId w:val="123"/>
        </w:numPr>
        <w:spacing w:after="0" w:line="240" w:lineRule="auto"/>
        <w:jc w:val="both"/>
        <w:rPr>
          <w:rFonts w:ascii="Times New Roman" w:hAnsi="Times New Roman"/>
          <w:sz w:val="24"/>
          <w:szCs w:val="24"/>
        </w:rPr>
      </w:pPr>
      <w:r>
        <w:rPr>
          <w:rFonts w:ascii="Times New Roman" w:hAnsi="Times New Roman"/>
          <w:sz w:val="24"/>
        </w:rPr>
        <w:t>finansinė garantija, jei tokia yra.</w:t>
      </w:r>
    </w:p>
    <w:p w14:paraId="5FC826E1" w14:textId="77777777" w:rsidR="00D240BA" w:rsidRPr="00712B34" w:rsidRDefault="00D240BA" w:rsidP="003F7876">
      <w:pPr>
        <w:spacing w:after="0" w:line="240" w:lineRule="auto"/>
        <w:ind w:left="357"/>
        <w:jc w:val="both"/>
        <w:rPr>
          <w:rFonts w:ascii="Times New Roman" w:hAnsi="Times New Roman"/>
          <w:sz w:val="24"/>
          <w:szCs w:val="24"/>
          <w:lang w:val="fr-FR"/>
        </w:rPr>
      </w:pPr>
    </w:p>
    <w:p w14:paraId="60E4CBED" w14:textId="6FAFA96B" w:rsidR="00E04895" w:rsidRDefault="00E04895" w:rsidP="003F7876">
      <w:pPr>
        <w:spacing w:after="0" w:line="240" w:lineRule="auto"/>
        <w:ind w:left="720" w:hanging="360"/>
        <w:jc w:val="both"/>
        <w:rPr>
          <w:rFonts w:ascii="Times New Roman" w:hAnsi="Times New Roman"/>
          <w:bCs/>
          <w:sz w:val="24"/>
          <w:szCs w:val="24"/>
        </w:rPr>
      </w:pPr>
    </w:p>
    <w:p w14:paraId="4103636F" w14:textId="642AB60D" w:rsidR="00482000" w:rsidRPr="00482000" w:rsidRDefault="00482000" w:rsidP="007D59C9">
      <w:pPr>
        <w:spacing w:after="0" w:line="240" w:lineRule="auto"/>
        <w:ind w:left="357"/>
        <w:jc w:val="both"/>
        <w:rPr>
          <w:rFonts w:ascii="Times New Roman" w:hAnsi="Times New Roman"/>
          <w:sz w:val="24"/>
          <w:szCs w:val="24"/>
        </w:rPr>
      </w:pPr>
      <w:r>
        <w:rPr>
          <w:rFonts w:ascii="Times New Roman" w:hAnsi="Times New Roman"/>
          <w:sz w:val="24"/>
        </w:rPr>
        <w:lastRenderedPageBreak/>
        <w:t>Jeigu ataskaitinio laikotarpio pabaigoje išankstinio finansavimo sumos panaudojimo ataskaitoje nurodoma, kad projekto išlaidoms padengti panaudota mažiau negu 70 proc. ankstesnio išankstinio finansavimo mokėjimo sumos, tolesnė išankstinio finansavimo suma sumažinama 70 proc. ribą atitinkančios sumos ir panaudotos sumos skirtumu.</w:t>
      </w:r>
    </w:p>
    <w:p w14:paraId="11BFAE06" w14:textId="77777777" w:rsidR="00482000" w:rsidRPr="00480642" w:rsidRDefault="00482000" w:rsidP="003F7876">
      <w:pPr>
        <w:spacing w:after="0" w:line="240" w:lineRule="auto"/>
        <w:ind w:left="720" w:hanging="360"/>
        <w:jc w:val="both"/>
        <w:rPr>
          <w:rFonts w:ascii="Times New Roman" w:hAnsi="Times New Roman"/>
          <w:bCs/>
          <w:sz w:val="24"/>
          <w:szCs w:val="24"/>
        </w:rPr>
      </w:pPr>
    </w:p>
    <w:p w14:paraId="60E4CBEE" w14:textId="4BE5A6B0" w:rsidR="00E04895" w:rsidRPr="003F7876" w:rsidRDefault="00F10621" w:rsidP="003F7876">
      <w:pPr>
        <w:spacing w:after="0" w:line="240" w:lineRule="auto"/>
        <w:ind w:left="357"/>
        <w:jc w:val="both"/>
        <w:rPr>
          <w:rFonts w:ascii="Times New Roman" w:hAnsi="Times New Roman"/>
          <w:sz w:val="24"/>
          <w:szCs w:val="24"/>
        </w:rPr>
      </w:pPr>
      <w:r>
        <w:rPr>
          <w:rFonts w:ascii="Times New Roman" w:hAnsi="Times New Roman"/>
          <w:sz w:val="24"/>
        </w:rPr>
        <w:t>Nepažeidžiant II.24.1 ir II.24.2 straipsnių ir po to, kai NA patvirtina ataskaitą, NA turi atlikti tolesnį išankstinio finansavimo mokėjimą gavėjui per [[</w:t>
      </w:r>
      <w:r>
        <w:rPr>
          <w:rFonts w:ascii="Times New Roman" w:hAnsi="Times New Roman"/>
          <w:sz w:val="24"/>
          <w:highlight w:val="lightGray"/>
        </w:rPr>
        <w:t>60</w:t>
      </w:r>
      <w:r>
        <w:rPr>
          <w:rFonts w:ascii="Times New Roman" w:hAnsi="Times New Roman"/>
          <w:sz w:val="24"/>
        </w:rPr>
        <w:t xml:space="preserve">] </w:t>
      </w:r>
      <w:r>
        <w:rPr>
          <w:rFonts w:ascii="Times New Roman" w:hAnsi="Times New Roman"/>
          <w:sz w:val="24"/>
          <w:highlight w:val="lightGray"/>
        </w:rPr>
        <w:t>/[arba anksčiau, jei to reikalaujama NA taikytinose taisyklėse</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xml:space="preserve">] kalendorinių dienų po tarpinės ataskaitos gavimo. </w:t>
      </w:r>
    </w:p>
    <w:p w14:paraId="60E4CBF0" w14:textId="2F69FA6D" w:rsidR="00F10621" w:rsidRDefault="00F10621" w:rsidP="00490C76">
      <w:pPr>
        <w:spacing w:after="0" w:line="240" w:lineRule="auto"/>
        <w:jc w:val="both"/>
        <w:rPr>
          <w:rFonts w:ascii="Times New Roman" w:hAnsi="Times New Roman"/>
          <w:sz w:val="24"/>
          <w:szCs w:val="24"/>
        </w:rPr>
      </w:pPr>
    </w:p>
    <w:p w14:paraId="65921CD7" w14:textId="31696356" w:rsidR="00482000" w:rsidRDefault="00482000" w:rsidP="003F7876">
      <w:pPr>
        <w:spacing w:after="0" w:line="240" w:lineRule="auto"/>
        <w:ind w:left="357"/>
        <w:jc w:val="both"/>
        <w:rPr>
          <w:rFonts w:ascii="Times New Roman" w:hAnsi="Times New Roman"/>
          <w:sz w:val="24"/>
          <w:szCs w:val="24"/>
        </w:rPr>
      </w:pPr>
    </w:p>
    <w:p w14:paraId="39004153" w14:textId="77777777" w:rsidR="00482000" w:rsidRDefault="00482000" w:rsidP="007D59C9">
      <w:pPr>
        <w:pStyle w:val="paragraph"/>
        <w:spacing w:line="276" w:lineRule="auto"/>
        <w:ind w:left="357" w:firstLine="0"/>
      </w:pPr>
      <w:r>
        <w:rPr>
          <w:i/>
        </w:rPr>
        <w:t>[[</w:t>
      </w:r>
      <w:r>
        <w:rPr>
          <w:i/>
          <w:highlight w:val="cyan"/>
        </w:rPr>
        <w:t>Neprivaloma daugiau nei dviejų išankstinių finansavimų atveju</w:t>
      </w:r>
      <w:r>
        <w:rPr>
          <w:i/>
        </w:rPr>
        <w:t xml:space="preserve">]: </w:t>
      </w:r>
      <w:r>
        <w:t xml:space="preserve">Iki </w:t>
      </w:r>
      <w:r>
        <w:rPr>
          <w:highlight w:val="lightGray"/>
          <w:shd w:val="clear" w:color="auto" w:fill="00FFFF"/>
        </w:rPr>
        <w:t>[NA įrašo datą]</w:t>
      </w:r>
      <w:r>
        <w:rPr>
          <w:vertAlign w:val="superscript"/>
        </w:rPr>
        <w:footnoteReference w:id="9"/>
      </w:r>
      <w:r>
        <w:t xml:space="preserve"> gavėjas turi pateikti prašymą dėl [</w:t>
      </w:r>
      <w:r>
        <w:rPr>
          <w:highlight w:val="lightGray"/>
        </w:rPr>
        <w:t>tolesnio</w:t>
      </w:r>
      <w:r>
        <w:t>]</w:t>
      </w:r>
      <w:r>
        <w:rPr>
          <w:b/>
        </w:rPr>
        <w:t xml:space="preserve"> </w:t>
      </w:r>
      <w:r>
        <w:t>išankstinio finansavimo mokėjimo ir tarpinę projekto įgyvendinimo ataskaitą, apimančią ataskaitinį laikotarpį nuo I.2.2 straipsnyje nurodytos projekto įgyvendinimo pradžios iki [</w:t>
      </w:r>
      <w:r>
        <w:rPr>
          <w:highlight w:val="lightGray"/>
        </w:rPr>
        <w:t>data, kurią nustato NA</w:t>
      </w:r>
      <w:r>
        <w:t xml:space="preserve">]. </w:t>
      </w:r>
    </w:p>
    <w:p w14:paraId="59D6D682" w14:textId="77777777" w:rsidR="00482000" w:rsidRPr="00712B34" w:rsidRDefault="00482000" w:rsidP="007D59C9">
      <w:pPr>
        <w:pStyle w:val="paragraph"/>
        <w:spacing w:line="276" w:lineRule="auto"/>
        <w:ind w:left="0"/>
      </w:pPr>
    </w:p>
    <w:p w14:paraId="21F00C66" w14:textId="77777777" w:rsidR="00482000" w:rsidRPr="0071395D" w:rsidRDefault="00482000" w:rsidP="007D59C9">
      <w:pPr>
        <w:suppressAutoHyphens w:val="0"/>
        <w:spacing w:before="100" w:beforeAutospacing="1" w:after="0"/>
        <w:ind w:left="357"/>
        <w:jc w:val="both"/>
        <w:rPr>
          <w:rFonts w:ascii="Times New Roman" w:hAnsi="Times New Roman"/>
          <w:sz w:val="24"/>
          <w:szCs w:val="24"/>
        </w:rPr>
      </w:pPr>
      <w:r>
        <w:rPr>
          <w:rFonts w:ascii="Times New Roman" w:hAnsi="Times New Roman"/>
          <w:sz w:val="24"/>
        </w:rPr>
        <w:t>Prie prašymo turi būti pridėti šie dokumentai:</w:t>
      </w:r>
    </w:p>
    <w:p w14:paraId="1118705C" w14:textId="77777777" w:rsidR="00482000" w:rsidRPr="007D59C9" w:rsidRDefault="00482000" w:rsidP="007D59C9">
      <w:pPr>
        <w:pStyle w:val="ListParagraph"/>
        <w:numPr>
          <w:ilvl w:val="0"/>
          <w:numId w:val="124"/>
        </w:numPr>
        <w:suppressAutoHyphens w:val="0"/>
        <w:spacing w:after="100" w:afterAutospacing="1"/>
        <w:jc w:val="both"/>
        <w:rPr>
          <w:rFonts w:ascii="Times New Roman" w:hAnsi="Times New Roman"/>
          <w:sz w:val="24"/>
          <w:szCs w:val="24"/>
        </w:rPr>
      </w:pPr>
      <w:r>
        <w:rPr>
          <w:rFonts w:ascii="Times New Roman" w:hAnsi="Times New Roman"/>
          <w:i/>
          <w:sz w:val="24"/>
        </w:rPr>
        <w:t>projekto</w:t>
      </w:r>
      <w:r>
        <w:rPr>
          <w:rFonts w:ascii="Times New Roman" w:hAnsi="Times New Roman"/>
          <w:sz w:val="24"/>
        </w:rPr>
        <w:t xml:space="preserve"> įgyvendinimo ataskaita;</w:t>
      </w:r>
    </w:p>
    <w:p w14:paraId="719B41F3" w14:textId="77777777" w:rsidR="00482000" w:rsidRPr="007D59C9" w:rsidRDefault="00482000" w:rsidP="007D59C9">
      <w:pPr>
        <w:pStyle w:val="ListParagraph"/>
        <w:numPr>
          <w:ilvl w:val="0"/>
          <w:numId w:val="124"/>
        </w:numPr>
        <w:suppressAutoHyphens w:val="0"/>
        <w:spacing w:before="100" w:beforeAutospacing="1" w:after="100" w:afterAutospacing="1"/>
        <w:jc w:val="both"/>
        <w:rPr>
          <w:rFonts w:ascii="Times New Roman" w:hAnsi="Times New Roman"/>
          <w:sz w:val="24"/>
          <w:szCs w:val="24"/>
        </w:rPr>
      </w:pPr>
      <w:r>
        <w:rPr>
          <w:rFonts w:ascii="Times New Roman" w:hAnsi="Times New Roman"/>
          <w:sz w:val="24"/>
        </w:rPr>
        <w:t>ankstesnės išankstinio finansavimo dalies, kuri buvo panaudota projekto išlaidoms padengti, sumos panaudojimo ataskaita (toliau – ankstesnės išankstinio finansavimo dalies panaudojimo ataskaita) ir</w:t>
      </w:r>
    </w:p>
    <w:p w14:paraId="21B4D6D0" w14:textId="0FB8FC0C" w:rsidR="00482000" w:rsidRPr="00490C76" w:rsidRDefault="00482000" w:rsidP="00490C76">
      <w:pPr>
        <w:pStyle w:val="ListParagraph"/>
        <w:numPr>
          <w:ilvl w:val="0"/>
          <w:numId w:val="124"/>
        </w:numPr>
        <w:suppressAutoHyphens w:val="0"/>
        <w:spacing w:before="100" w:beforeAutospacing="1" w:after="100" w:afterAutospacing="1"/>
        <w:jc w:val="both"/>
        <w:rPr>
          <w:rFonts w:ascii="Times New Roman" w:hAnsi="Times New Roman"/>
          <w:sz w:val="24"/>
          <w:szCs w:val="24"/>
        </w:rPr>
      </w:pPr>
      <w:r>
        <w:rPr>
          <w:rFonts w:ascii="Times New Roman" w:hAnsi="Times New Roman"/>
          <w:sz w:val="24"/>
        </w:rPr>
        <w:t>finansinė garantija, jei tokia yra.</w:t>
      </w:r>
    </w:p>
    <w:p w14:paraId="23AA30EC" w14:textId="71DF6E71" w:rsidR="00482000" w:rsidRDefault="00482000" w:rsidP="007D59C9">
      <w:pPr>
        <w:spacing w:after="0"/>
        <w:ind w:left="357"/>
        <w:jc w:val="both"/>
        <w:rPr>
          <w:rFonts w:ascii="Times New Roman" w:hAnsi="Times New Roman"/>
          <w:sz w:val="24"/>
          <w:szCs w:val="24"/>
        </w:rPr>
      </w:pPr>
      <w:r>
        <w:rPr>
          <w:rFonts w:ascii="Times New Roman" w:hAnsi="Times New Roman"/>
          <w:sz w:val="24"/>
        </w:rPr>
        <w:t xml:space="preserve">Jeigu ataskaitinio laikotarpio pabaigoje išankstinio finansavimo sumos panaudojimo ataskaitoje nurodoma, kad projekto išlaidoms padengti panaudota mažiau negu 70 proc. ankstesnio išankstinio finansavimo mokėjimo sumos, tolesnė išankstinio finansavimo suma sumažinama 70 proc. ribą atitinkančios sumos ir panaudotos sumos skirtumu. </w:t>
      </w:r>
    </w:p>
    <w:p w14:paraId="532398BD" w14:textId="77777777" w:rsidR="00482000" w:rsidRDefault="00482000" w:rsidP="007D59C9">
      <w:pPr>
        <w:spacing w:after="0"/>
        <w:ind w:left="357"/>
        <w:jc w:val="both"/>
        <w:rPr>
          <w:rFonts w:ascii="Times New Roman" w:hAnsi="Times New Roman"/>
          <w:sz w:val="24"/>
          <w:szCs w:val="24"/>
        </w:rPr>
      </w:pPr>
    </w:p>
    <w:p w14:paraId="17A75DAF" w14:textId="77777777" w:rsidR="00482000" w:rsidRPr="003F7876" w:rsidRDefault="00482000" w:rsidP="007D59C9">
      <w:pPr>
        <w:spacing w:after="0"/>
        <w:ind w:left="357"/>
        <w:jc w:val="both"/>
        <w:rPr>
          <w:rFonts w:ascii="Times New Roman" w:hAnsi="Times New Roman"/>
          <w:sz w:val="24"/>
          <w:szCs w:val="24"/>
        </w:rPr>
      </w:pPr>
      <w:r>
        <w:rPr>
          <w:rFonts w:ascii="Times New Roman" w:hAnsi="Times New Roman"/>
          <w:sz w:val="24"/>
        </w:rPr>
        <w:t>Nepažeidžiant II.24.1 ir II.24.2 straipsnių ir po to, kai NA patvirtina ataskaitą, NA turi atlikti tolesnį išankstinio finansavimo mokėjimą gavėjui per [[</w:t>
      </w:r>
      <w:r>
        <w:rPr>
          <w:rFonts w:ascii="Times New Roman" w:hAnsi="Times New Roman"/>
          <w:sz w:val="24"/>
          <w:highlight w:val="lightGray"/>
        </w:rPr>
        <w:t>60</w:t>
      </w:r>
      <w:r>
        <w:rPr>
          <w:rFonts w:ascii="Times New Roman" w:hAnsi="Times New Roman"/>
          <w:sz w:val="24"/>
        </w:rPr>
        <w:t xml:space="preserve">] </w:t>
      </w:r>
      <w:r>
        <w:rPr>
          <w:rFonts w:ascii="Times New Roman" w:hAnsi="Times New Roman"/>
          <w:sz w:val="24"/>
          <w:highlight w:val="lightGray"/>
        </w:rPr>
        <w:t>/[arba anksčiau, jei to reikalaujama NA taikytinose taisyklėse</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kalendorinių dienų po tarpinės ataskaitos gavimo.</w:t>
      </w:r>
    </w:p>
    <w:p w14:paraId="60E4CBF2" w14:textId="77777777" w:rsidR="0008116E" w:rsidRPr="00712B34" w:rsidRDefault="0008116E" w:rsidP="00490C76">
      <w:pPr>
        <w:pStyle w:val="paragraph"/>
        <w:ind w:left="0" w:firstLine="0"/>
        <w:rPr>
          <w:b/>
        </w:rPr>
      </w:pPr>
    </w:p>
    <w:p w14:paraId="60E4CBF3" w14:textId="2FC33431" w:rsidR="00F10621" w:rsidRPr="003F7876" w:rsidRDefault="00F10621" w:rsidP="003F7876">
      <w:pPr>
        <w:pStyle w:val="paragraph"/>
        <w:numPr>
          <w:ilvl w:val="1"/>
          <w:numId w:val="0"/>
        </w:numPr>
        <w:ind w:left="357"/>
        <w:jc w:val="left"/>
        <w:rPr>
          <w:b/>
          <w:bCs/>
        </w:rPr>
      </w:pPr>
      <w:r>
        <w:rPr>
          <w:b/>
          <w:highlight w:val="lightGray"/>
        </w:rPr>
        <w:t>2 variantas. Du ar keli išankstinio finansavimo mokėjimai teikiant vieną pažangos ataskaitą ir vieną arba kelias tarpines ataskaitas</w:t>
      </w:r>
      <w:r>
        <w:rPr>
          <w:b/>
        </w:rPr>
        <w:t xml:space="preserve"> </w:t>
      </w:r>
    </w:p>
    <w:p w14:paraId="60E4CBF4" w14:textId="2259464F" w:rsidR="006A0D1C" w:rsidRPr="00480642" w:rsidRDefault="006A0D1C" w:rsidP="003F7876">
      <w:pPr>
        <w:pStyle w:val="paragraph"/>
        <w:ind w:left="720"/>
      </w:pPr>
    </w:p>
    <w:p w14:paraId="60E4CBF5" w14:textId="340FB0E1" w:rsidR="006A0D1C" w:rsidRPr="00480642" w:rsidRDefault="006A0D1C" w:rsidP="003F7876">
      <w:pPr>
        <w:pStyle w:val="paragraph"/>
        <w:numPr>
          <w:ilvl w:val="1"/>
          <w:numId w:val="0"/>
        </w:numPr>
        <w:ind w:left="720" w:hanging="360"/>
      </w:pPr>
      <w:r>
        <w:rPr>
          <w:i/>
        </w:rPr>
        <w:t xml:space="preserve">Jeigu pasirenkamas I.4.2 straipsnio 3 variantas. </w:t>
      </w:r>
    </w:p>
    <w:p w14:paraId="60E4CBF6" w14:textId="5901681A" w:rsidR="00F10621" w:rsidRPr="00480642" w:rsidRDefault="00F10621" w:rsidP="003F7876">
      <w:pPr>
        <w:pStyle w:val="paragraph"/>
        <w:ind w:left="720"/>
      </w:pPr>
      <w:r>
        <w:t xml:space="preserve"> </w:t>
      </w:r>
    </w:p>
    <w:p w14:paraId="60E4CBF7" w14:textId="6EB5F891" w:rsidR="00F10621" w:rsidRPr="00480642" w:rsidRDefault="00F10621" w:rsidP="003F7876">
      <w:pPr>
        <w:spacing w:after="0" w:line="240" w:lineRule="auto"/>
        <w:ind w:left="357"/>
        <w:jc w:val="both"/>
        <w:rPr>
          <w:rFonts w:ascii="Times New Roman" w:hAnsi="Times New Roman"/>
          <w:sz w:val="24"/>
          <w:szCs w:val="24"/>
        </w:rPr>
      </w:pPr>
      <w:r>
        <w:rPr>
          <w:rFonts w:ascii="Times New Roman" w:hAnsi="Times New Roman"/>
          <w:sz w:val="24"/>
        </w:rPr>
        <w:lastRenderedPageBreak/>
        <w:t xml:space="preserve">Iki </w:t>
      </w:r>
      <w:r>
        <w:rPr>
          <w:rFonts w:ascii="Times New Roman" w:hAnsi="Times New Roman"/>
          <w:sz w:val="24"/>
          <w:highlight w:val="lightGray"/>
          <w:shd w:val="clear" w:color="auto" w:fill="00FFFF"/>
        </w:rPr>
        <w:t>[NA įrašo datą]</w:t>
      </w:r>
      <w:r>
        <w:rPr>
          <w:rStyle w:val="FootnoteReference"/>
          <w:rFonts w:ascii="Times New Roman" w:hAnsi="Times New Roman"/>
          <w:sz w:val="24"/>
          <w:szCs w:val="24"/>
          <w:highlight w:val="lightGray"/>
          <w:shd w:val="clear" w:color="auto" w:fill="00FFFF"/>
          <w:lang w:val="en-US"/>
        </w:rPr>
        <w:footnoteReference w:id="10"/>
      </w:r>
      <w:r>
        <w:rPr>
          <w:rFonts w:ascii="Times New Roman" w:hAnsi="Times New Roman"/>
          <w:sz w:val="24"/>
        </w:rPr>
        <w:t xml:space="preserve"> gavėjas turi pateikti projekto įgyvendinimo pažangos ataskaitą, apimančią ataskaitinį laikotarpį nuo I.2.2 straipsnyje nurodytos projekto įgyvendinimo pradžios iki [</w:t>
      </w:r>
      <w:r>
        <w:rPr>
          <w:rFonts w:ascii="Times New Roman" w:hAnsi="Times New Roman"/>
          <w:sz w:val="24"/>
          <w:highlight w:val="lightGray"/>
        </w:rPr>
        <w:t>data, kurią nustato NA</w:t>
      </w:r>
      <w:r>
        <w:rPr>
          <w:rFonts w:ascii="Times New Roman" w:hAnsi="Times New Roman"/>
          <w:sz w:val="24"/>
        </w:rPr>
        <w:t xml:space="preserve">]. </w:t>
      </w:r>
    </w:p>
    <w:p w14:paraId="60E4CBF8" w14:textId="19C6902D" w:rsidR="00F10621" w:rsidRPr="00712B34" w:rsidRDefault="00F10621" w:rsidP="003F7876">
      <w:pPr>
        <w:spacing w:after="0" w:line="240" w:lineRule="auto"/>
        <w:ind w:left="357"/>
        <w:jc w:val="both"/>
        <w:rPr>
          <w:rFonts w:ascii="Times New Roman" w:hAnsi="Times New Roman"/>
          <w:sz w:val="24"/>
          <w:szCs w:val="24"/>
        </w:rPr>
      </w:pPr>
    </w:p>
    <w:p w14:paraId="60E4CBF9" w14:textId="29343CFB" w:rsidR="00F10621" w:rsidRPr="00480642" w:rsidRDefault="00F10621" w:rsidP="003F7876">
      <w:pPr>
        <w:ind w:left="357"/>
        <w:jc w:val="both"/>
        <w:rPr>
          <w:rFonts w:ascii="Times New Roman" w:hAnsi="Times New Roman"/>
          <w:sz w:val="24"/>
          <w:szCs w:val="24"/>
        </w:rPr>
      </w:pPr>
      <w:r>
        <w:rPr>
          <w:rFonts w:ascii="Times New Roman" w:hAnsi="Times New Roman"/>
          <w:sz w:val="24"/>
        </w:rPr>
        <w:t xml:space="preserve">Iki </w:t>
      </w:r>
      <w:r>
        <w:rPr>
          <w:rFonts w:ascii="Times New Roman" w:hAnsi="Times New Roman"/>
          <w:sz w:val="24"/>
          <w:highlight w:val="lightGray"/>
        </w:rPr>
        <w:t xml:space="preserve">[NA įrašo datą] </w:t>
      </w:r>
      <w:r>
        <w:rPr>
          <w:rStyle w:val="FootnoteReference"/>
          <w:rFonts w:ascii="Times New Roman" w:hAnsi="Times New Roman"/>
          <w:sz w:val="24"/>
          <w:szCs w:val="24"/>
          <w:highlight w:val="lightGray"/>
          <w:shd w:val="clear" w:color="auto" w:fill="00FFFF"/>
          <w:lang w:val="en-US"/>
        </w:rPr>
        <w:footnoteReference w:id="11"/>
      </w:r>
      <w:r>
        <w:rPr>
          <w:rFonts w:ascii="Times New Roman" w:hAnsi="Times New Roman"/>
          <w:sz w:val="24"/>
        </w:rPr>
        <w:t xml:space="preserve"> gavėjas turi pateikti prašymą dėl antro išankstinio finansavimo mokėjimo ir tarpinę projekto įgyvendinimo ataskaitą, apimančią ataskaitinį laikotarpį nuo I.2.2 straipsnyje nurodytos projekto įgyvendinimo pradžios iki [</w:t>
      </w:r>
      <w:r>
        <w:rPr>
          <w:rFonts w:ascii="Times New Roman" w:hAnsi="Times New Roman"/>
          <w:sz w:val="24"/>
          <w:highlight w:val="lightGray"/>
        </w:rPr>
        <w:t>data, kurią nustato NA</w:t>
      </w:r>
      <w:r>
        <w:rPr>
          <w:rFonts w:ascii="Times New Roman" w:hAnsi="Times New Roman"/>
          <w:sz w:val="24"/>
        </w:rPr>
        <w:t xml:space="preserve">]. </w:t>
      </w:r>
    </w:p>
    <w:p w14:paraId="0AF89F90" w14:textId="5B3EDC58" w:rsidR="0083563A" w:rsidRDefault="0083563A" w:rsidP="0083563A">
      <w:pPr>
        <w:spacing w:after="0" w:line="240" w:lineRule="auto"/>
        <w:ind w:left="357"/>
        <w:jc w:val="both"/>
        <w:rPr>
          <w:rFonts w:ascii="Times New Roman" w:hAnsi="Times New Roman"/>
          <w:sz w:val="24"/>
          <w:szCs w:val="24"/>
        </w:rPr>
      </w:pPr>
      <w:r>
        <w:rPr>
          <w:rFonts w:ascii="Times New Roman" w:hAnsi="Times New Roman"/>
          <w:sz w:val="24"/>
        </w:rPr>
        <w:t>Jeigu ataskaitinio laikotarpio pabaigoje išankstinio finansavimo sumos panaudojimo ataskaitoje nurodoma, kad projekto išlaidoms padengti panaudota mažiau negu 70 proc. ankstesnio išankstinio finansavimo mokėjimo sumos, tolesnė išankstinio finansavimo suma sumažinama 70 proc. ribą atitinkančios sumos ir panaudotos sumos skirtumu.</w:t>
      </w:r>
    </w:p>
    <w:p w14:paraId="60E4CC00" w14:textId="78D5E5B5" w:rsidR="00E04895" w:rsidRPr="00480642" w:rsidRDefault="00E04895" w:rsidP="00490C76">
      <w:pPr>
        <w:spacing w:after="0" w:line="240" w:lineRule="auto"/>
        <w:ind w:left="357"/>
        <w:jc w:val="both"/>
        <w:rPr>
          <w:rFonts w:ascii="Times New Roman" w:hAnsi="Times New Roman"/>
          <w:bCs/>
          <w:sz w:val="24"/>
          <w:szCs w:val="24"/>
        </w:rPr>
      </w:pPr>
    </w:p>
    <w:p w14:paraId="60E4CC01" w14:textId="7EE5D60B" w:rsidR="00F10621" w:rsidRDefault="00F10621" w:rsidP="003F7876">
      <w:pPr>
        <w:spacing w:after="0" w:line="240" w:lineRule="auto"/>
        <w:ind w:left="357"/>
        <w:jc w:val="both"/>
        <w:rPr>
          <w:rFonts w:ascii="Times New Roman" w:hAnsi="Times New Roman"/>
          <w:sz w:val="24"/>
          <w:szCs w:val="24"/>
        </w:rPr>
      </w:pPr>
      <w:r>
        <w:rPr>
          <w:rFonts w:ascii="Times New Roman" w:hAnsi="Times New Roman"/>
          <w:sz w:val="24"/>
        </w:rPr>
        <w:t xml:space="preserve">Nepažeidžiant II.24.1 ir II.24.2 straipsnių ir po to, kai NA patvirtina ataskaitą, NA turi atlikti tolesnį išankstinio finansavimo mokėjimą gavėjui per [[60] </w:t>
      </w:r>
      <w:r>
        <w:rPr>
          <w:rFonts w:ascii="Times New Roman" w:hAnsi="Times New Roman"/>
          <w:sz w:val="24"/>
          <w:highlight w:val="lightGray"/>
        </w:rPr>
        <w:t>/[arba anksčiau, jei to reikalaujama NA taikytinose taisyklėse</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kalendorinių dienų po tarpinės ataskaitos gavimo.</w:t>
      </w:r>
    </w:p>
    <w:p w14:paraId="5251525E" w14:textId="14D1BFFC" w:rsidR="0083563A" w:rsidRDefault="0083563A" w:rsidP="003F7876">
      <w:pPr>
        <w:spacing w:after="0" w:line="240" w:lineRule="auto"/>
        <w:ind w:left="357"/>
        <w:jc w:val="both"/>
        <w:rPr>
          <w:rFonts w:ascii="Times New Roman" w:hAnsi="Times New Roman"/>
          <w:sz w:val="24"/>
          <w:szCs w:val="24"/>
        </w:rPr>
      </w:pPr>
    </w:p>
    <w:p w14:paraId="01ED1517" w14:textId="77777777" w:rsidR="0083563A" w:rsidRPr="0083563A" w:rsidRDefault="0083563A" w:rsidP="0083563A">
      <w:pPr>
        <w:spacing w:after="0" w:line="240" w:lineRule="auto"/>
        <w:ind w:left="357"/>
        <w:jc w:val="both"/>
        <w:rPr>
          <w:rFonts w:ascii="Times New Roman" w:hAnsi="Times New Roman"/>
          <w:sz w:val="24"/>
          <w:szCs w:val="24"/>
        </w:rPr>
      </w:pPr>
      <w:r>
        <w:rPr>
          <w:rFonts w:ascii="Times New Roman" w:hAnsi="Times New Roman"/>
          <w:sz w:val="24"/>
        </w:rPr>
        <w:t>[Neprivaloma kelių išankstinių finansavimų atveju</w:t>
      </w:r>
    </w:p>
    <w:p w14:paraId="7F4EB837" w14:textId="77777777" w:rsidR="0083563A" w:rsidRPr="00712B34" w:rsidRDefault="0083563A" w:rsidP="0083563A">
      <w:pPr>
        <w:spacing w:after="0" w:line="240" w:lineRule="auto"/>
        <w:ind w:left="357"/>
        <w:jc w:val="both"/>
        <w:rPr>
          <w:rFonts w:ascii="Times New Roman" w:hAnsi="Times New Roman"/>
          <w:sz w:val="24"/>
          <w:szCs w:val="24"/>
        </w:rPr>
      </w:pPr>
    </w:p>
    <w:p w14:paraId="09FE2446" w14:textId="77777777" w:rsidR="0083563A" w:rsidRPr="0083563A" w:rsidRDefault="0083563A" w:rsidP="0083563A">
      <w:pPr>
        <w:spacing w:after="0" w:line="240" w:lineRule="auto"/>
        <w:ind w:left="357"/>
        <w:jc w:val="both"/>
        <w:rPr>
          <w:rFonts w:ascii="Times New Roman" w:hAnsi="Times New Roman"/>
          <w:sz w:val="24"/>
          <w:szCs w:val="24"/>
        </w:rPr>
      </w:pPr>
      <w:r>
        <w:rPr>
          <w:rFonts w:ascii="Times New Roman" w:hAnsi="Times New Roman"/>
          <w:sz w:val="24"/>
        </w:rPr>
        <w:t xml:space="preserve">Iki </w:t>
      </w:r>
      <w:r>
        <w:rPr>
          <w:rFonts w:ascii="Times New Roman" w:hAnsi="Times New Roman"/>
          <w:sz w:val="24"/>
          <w:highlight w:val="lightGray"/>
        </w:rPr>
        <w:t>[NA įrašo datą]</w:t>
      </w:r>
      <w:r>
        <w:rPr>
          <w:rFonts w:ascii="Times New Roman" w:hAnsi="Times New Roman"/>
          <w:sz w:val="24"/>
        </w:rPr>
        <w:t xml:space="preserve"> gavėjas turi pateikti prašymą dėl [trečio][ir][ketvirto][</w:t>
      </w:r>
      <w:r>
        <w:rPr>
          <w:rFonts w:ascii="Times New Roman" w:hAnsi="Times New Roman"/>
          <w:sz w:val="24"/>
          <w:highlight w:val="lightGray"/>
        </w:rPr>
        <w:t>taip pat dėl tolesnio</w:t>
      </w:r>
      <w:r>
        <w:rPr>
          <w:rFonts w:ascii="Times New Roman" w:hAnsi="Times New Roman"/>
          <w:sz w:val="24"/>
        </w:rPr>
        <w:t>] išankstinio finansavimo mokėjimo ir parengti tarpinę projekto įgyvendinimo ataskaitą, apimančią ataskaitinį laikotarpį nuo I.2.2 straipsnyje nurodytos projekto įgyvendinimo pradžios iki [</w:t>
      </w:r>
      <w:r>
        <w:rPr>
          <w:rFonts w:ascii="Times New Roman" w:hAnsi="Times New Roman"/>
          <w:sz w:val="24"/>
          <w:highlight w:val="lightGray"/>
        </w:rPr>
        <w:t>data, kurią nustato NA</w:t>
      </w:r>
      <w:r>
        <w:rPr>
          <w:rFonts w:ascii="Times New Roman" w:hAnsi="Times New Roman"/>
          <w:sz w:val="24"/>
        </w:rPr>
        <w:t xml:space="preserve">]. </w:t>
      </w:r>
    </w:p>
    <w:p w14:paraId="75C2596F" w14:textId="77777777" w:rsidR="0083563A" w:rsidRPr="00712B34" w:rsidRDefault="0083563A" w:rsidP="0083563A">
      <w:pPr>
        <w:spacing w:after="0" w:line="240" w:lineRule="auto"/>
        <w:ind w:left="357"/>
        <w:jc w:val="both"/>
        <w:rPr>
          <w:rFonts w:ascii="Times New Roman" w:hAnsi="Times New Roman"/>
          <w:sz w:val="24"/>
          <w:szCs w:val="24"/>
        </w:rPr>
      </w:pPr>
    </w:p>
    <w:p w14:paraId="30B14513" w14:textId="47F3BC27" w:rsidR="0083563A" w:rsidRPr="0083563A" w:rsidRDefault="0083563A" w:rsidP="0083563A">
      <w:pPr>
        <w:spacing w:after="0" w:line="240" w:lineRule="auto"/>
        <w:ind w:left="357"/>
        <w:jc w:val="both"/>
        <w:rPr>
          <w:rFonts w:ascii="Times New Roman" w:hAnsi="Times New Roman"/>
          <w:sz w:val="24"/>
          <w:szCs w:val="24"/>
        </w:rPr>
      </w:pPr>
      <w:r>
        <w:rPr>
          <w:rFonts w:ascii="Times New Roman" w:hAnsi="Times New Roman"/>
          <w:sz w:val="24"/>
        </w:rPr>
        <w:t xml:space="preserve">Jeigu ataskaitinio laikotarpio pabaigoje išankstinio finansavimo sumos panaudojimo ataskaitoje nurodoma, kad projekto išlaidoms padengti panaudota mažiau negu 70 proc. ankstesnio išankstinio finansavimo mokėjimo sumos, tolesnė išankstinio finansavimo suma sumažinama 70 proc. ribą atitinkančios sumos ir panaudotos sumos skirtumu. </w:t>
      </w:r>
    </w:p>
    <w:p w14:paraId="1BB3ABB1" w14:textId="77777777" w:rsidR="0083563A" w:rsidRPr="00712B34" w:rsidRDefault="0083563A" w:rsidP="0083563A">
      <w:pPr>
        <w:spacing w:after="0" w:line="240" w:lineRule="auto"/>
        <w:ind w:left="357"/>
        <w:jc w:val="both"/>
        <w:rPr>
          <w:rFonts w:ascii="Times New Roman" w:hAnsi="Times New Roman"/>
          <w:sz w:val="24"/>
          <w:szCs w:val="24"/>
        </w:rPr>
      </w:pPr>
    </w:p>
    <w:p w14:paraId="4DBEE63C" w14:textId="56CE6B35" w:rsidR="0083563A" w:rsidRPr="00480642" w:rsidRDefault="0083563A" w:rsidP="0083563A">
      <w:pPr>
        <w:spacing w:after="0" w:line="240" w:lineRule="auto"/>
        <w:ind w:left="357"/>
        <w:jc w:val="both"/>
        <w:rPr>
          <w:rFonts w:ascii="Times New Roman" w:hAnsi="Times New Roman"/>
          <w:sz w:val="24"/>
          <w:szCs w:val="24"/>
        </w:rPr>
      </w:pPr>
      <w:r>
        <w:rPr>
          <w:rFonts w:ascii="Times New Roman" w:hAnsi="Times New Roman"/>
          <w:sz w:val="24"/>
        </w:rPr>
        <w:t xml:space="preserve">Nepažeidžiant II.24.1 ir II.24.2 straipsnių ir po to, kai NA patvirtina ataskaitą, NA turi atlikti tolesnį išankstinio finansavimo mokėjimą gavėjui per [[60] </w:t>
      </w:r>
      <w:r>
        <w:rPr>
          <w:rFonts w:ascii="Times New Roman" w:hAnsi="Times New Roman"/>
          <w:sz w:val="24"/>
          <w:highlight w:val="lightGray"/>
        </w:rPr>
        <w:t>/[arba anksčiau, jei to reikalaujama NA taikytinose taisyklėse</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kalendorinių dienų po tarpinės ataskaitos gavimo.</w:t>
      </w:r>
    </w:p>
    <w:p w14:paraId="60E4CC02" w14:textId="0A4B3FE9" w:rsidR="00F10621" w:rsidRPr="00480642" w:rsidRDefault="00F10621" w:rsidP="003F7876">
      <w:pPr>
        <w:pStyle w:val="paragraph"/>
        <w:ind w:left="720"/>
        <w:rPr>
          <w:b/>
        </w:rPr>
      </w:pPr>
    </w:p>
    <w:p w14:paraId="60E4CC04" w14:textId="1870AC40" w:rsidR="00F10621" w:rsidRPr="003F7876" w:rsidRDefault="00F10621" w:rsidP="003F7876">
      <w:pPr>
        <w:spacing w:after="0"/>
        <w:ind w:left="357"/>
        <w:jc w:val="both"/>
        <w:rPr>
          <w:rFonts w:ascii="Times New Roman" w:hAnsi="Times New Roman"/>
          <w:b/>
          <w:bCs/>
          <w:sz w:val="24"/>
          <w:szCs w:val="24"/>
        </w:rPr>
      </w:pPr>
      <w:r>
        <w:rPr>
          <w:rFonts w:ascii="Times New Roman" w:hAnsi="Times New Roman"/>
          <w:b/>
          <w:sz w:val="24"/>
          <w:highlight w:val="lightGray"/>
        </w:rPr>
        <w:t>3 variantas. Tolesnio išankstinio finansavimo mokėjimo neatliekama, tarpinės ataskaitos neteikiama, tačiau reikalaujama parengti pažangos ataskaitą</w:t>
      </w:r>
    </w:p>
    <w:p w14:paraId="60E4CC05" w14:textId="358CD08B" w:rsidR="000A0DA0" w:rsidRPr="00480642" w:rsidRDefault="000A0DA0" w:rsidP="003F7876">
      <w:pPr>
        <w:spacing w:after="0"/>
        <w:ind w:left="720" w:hanging="360"/>
        <w:rPr>
          <w:rFonts w:ascii="Times New Roman" w:hAnsi="Times New Roman"/>
          <w:i/>
          <w:sz w:val="24"/>
          <w:szCs w:val="24"/>
        </w:rPr>
      </w:pPr>
    </w:p>
    <w:p w14:paraId="7A3CF973" w14:textId="04C597E4" w:rsidR="00C55BC2" w:rsidRPr="003F7876" w:rsidRDefault="006A0D1C" w:rsidP="003F7876">
      <w:pPr>
        <w:spacing w:after="0"/>
        <w:ind w:left="714" w:hanging="357"/>
        <w:rPr>
          <w:rFonts w:ascii="Times New Roman" w:hAnsi="Times New Roman"/>
          <w:i/>
          <w:iCs/>
          <w:sz w:val="24"/>
          <w:szCs w:val="24"/>
        </w:rPr>
      </w:pPr>
      <w:r>
        <w:rPr>
          <w:rFonts w:ascii="Times New Roman" w:hAnsi="Times New Roman"/>
          <w:i/>
          <w:sz w:val="24"/>
        </w:rPr>
        <w:t xml:space="preserve">Jeigu pasirenkamas I.4.2 straipsnio 1 arba 2 variantas. </w:t>
      </w:r>
    </w:p>
    <w:p w14:paraId="60E4CC07" w14:textId="6E64D4B5" w:rsidR="00F10621" w:rsidRPr="00480642" w:rsidRDefault="00F10621" w:rsidP="003F7876">
      <w:pPr>
        <w:spacing w:after="0"/>
        <w:ind w:left="714" w:hanging="357"/>
        <w:rPr>
          <w:rFonts w:ascii="Times New Roman" w:hAnsi="Times New Roman"/>
          <w:sz w:val="24"/>
        </w:rPr>
      </w:pPr>
    </w:p>
    <w:p w14:paraId="60E4CC08" w14:textId="416AD2C7" w:rsidR="00F10621" w:rsidRPr="00480642" w:rsidRDefault="00F10621" w:rsidP="003F7876">
      <w:pPr>
        <w:spacing w:after="0" w:line="240" w:lineRule="auto"/>
        <w:ind w:left="357"/>
        <w:jc w:val="both"/>
        <w:rPr>
          <w:rFonts w:ascii="Times New Roman" w:hAnsi="Times New Roman"/>
          <w:sz w:val="24"/>
          <w:szCs w:val="24"/>
        </w:rPr>
      </w:pPr>
      <w:r>
        <w:rPr>
          <w:rFonts w:ascii="Times New Roman" w:hAnsi="Times New Roman"/>
          <w:sz w:val="24"/>
        </w:rPr>
        <w:lastRenderedPageBreak/>
        <w:t xml:space="preserve">Iki </w:t>
      </w:r>
      <w:r>
        <w:rPr>
          <w:rFonts w:ascii="Times New Roman" w:hAnsi="Times New Roman"/>
          <w:sz w:val="24"/>
          <w:highlight w:val="lightGray"/>
          <w:shd w:val="clear" w:color="auto" w:fill="00FFFF"/>
        </w:rPr>
        <w:t>[NA įrašo datą]</w:t>
      </w:r>
      <w:r>
        <w:rPr>
          <w:rFonts w:ascii="Times New Roman" w:hAnsi="Times New Roman"/>
          <w:sz w:val="24"/>
        </w:rPr>
        <w:t xml:space="preserve"> gavėjas turi parengti projekto įgyvendinimo pažangos ataskaitą, apimančią ataskaitinį laikotarpį nuo I.2.2 straipsnyje nurodytos projekto įgyvendinimo pradžios iki </w:t>
      </w:r>
      <w:r>
        <w:rPr>
          <w:rFonts w:ascii="Times New Roman" w:hAnsi="Times New Roman"/>
          <w:sz w:val="24"/>
          <w:highlight w:val="lightGray"/>
        </w:rPr>
        <w:t>[data, kurią nustato NA]</w:t>
      </w:r>
      <w:r>
        <w:rPr>
          <w:rFonts w:ascii="Times New Roman" w:hAnsi="Times New Roman"/>
          <w:sz w:val="24"/>
        </w:rPr>
        <w:t>.</w:t>
      </w:r>
    </w:p>
    <w:p w14:paraId="60E4CC09" w14:textId="3A24EB31" w:rsidR="00F10621" w:rsidRPr="00480642" w:rsidRDefault="00F10621" w:rsidP="003F7876">
      <w:pPr>
        <w:pStyle w:val="paragraph"/>
        <w:ind w:left="720"/>
        <w:rPr>
          <w:b/>
        </w:rPr>
      </w:pPr>
    </w:p>
    <w:p w14:paraId="60E4CC0B" w14:textId="350E1A95" w:rsidR="006A0D1C" w:rsidRPr="003F7876" w:rsidRDefault="00F10621" w:rsidP="003F7876">
      <w:pPr>
        <w:spacing w:after="0"/>
        <w:ind w:left="720" w:hanging="360"/>
        <w:rPr>
          <w:rFonts w:ascii="Times New Roman" w:hAnsi="Times New Roman"/>
          <w:b/>
          <w:bCs/>
          <w:sz w:val="24"/>
          <w:szCs w:val="24"/>
        </w:rPr>
      </w:pPr>
      <w:r>
        <w:rPr>
          <w:rFonts w:ascii="Times New Roman" w:hAnsi="Times New Roman"/>
          <w:b/>
          <w:sz w:val="24"/>
          <w:highlight w:val="lightGray"/>
        </w:rPr>
        <w:t>4 variantas. Tolesnio išankstinio finansavimo mokėjimo neatliekama, nerengiama nei tarpinė, nei pažangos ataskaitos.</w:t>
      </w:r>
    </w:p>
    <w:p w14:paraId="60E4CC0C" w14:textId="791EA236" w:rsidR="000A0DA0" w:rsidRPr="00480642" w:rsidRDefault="000A0DA0" w:rsidP="003F7876">
      <w:pPr>
        <w:spacing w:after="0"/>
        <w:ind w:left="720" w:hanging="360"/>
        <w:rPr>
          <w:rFonts w:ascii="Times New Roman" w:hAnsi="Times New Roman"/>
          <w:i/>
          <w:sz w:val="24"/>
          <w:szCs w:val="24"/>
        </w:rPr>
      </w:pPr>
    </w:p>
    <w:p w14:paraId="38424C4F" w14:textId="2942A750" w:rsidR="00C55BC2" w:rsidRPr="003F7876" w:rsidRDefault="006A0D1C" w:rsidP="003F7876">
      <w:pPr>
        <w:spacing w:after="0"/>
        <w:ind w:left="357"/>
        <w:jc w:val="both"/>
        <w:rPr>
          <w:rFonts w:ascii="Times New Roman" w:hAnsi="Times New Roman"/>
          <w:i/>
          <w:iCs/>
          <w:sz w:val="24"/>
          <w:szCs w:val="24"/>
        </w:rPr>
      </w:pPr>
      <w:r>
        <w:rPr>
          <w:rFonts w:ascii="Times New Roman" w:hAnsi="Times New Roman"/>
          <w:i/>
          <w:sz w:val="24"/>
        </w:rPr>
        <w:t xml:space="preserve">Jeigu pasirenkamas I.4.2 straipsnio 1 arba 2 variantas. </w:t>
      </w:r>
    </w:p>
    <w:p w14:paraId="60E4CC0E" w14:textId="0F2B85FC" w:rsidR="00F10621" w:rsidRPr="00712B34" w:rsidRDefault="00F10621" w:rsidP="003F7876">
      <w:pPr>
        <w:spacing w:after="0" w:line="240" w:lineRule="auto"/>
        <w:ind w:left="720" w:hanging="360"/>
        <w:jc w:val="both"/>
        <w:rPr>
          <w:rFonts w:ascii="Times New Roman" w:hAnsi="Times New Roman"/>
          <w:sz w:val="24"/>
          <w:szCs w:val="24"/>
          <w:shd w:val="clear" w:color="auto" w:fill="00FFFF"/>
        </w:rPr>
      </w:pPr>
    </w:p>
    <w:p w14:paraId="60E4CC0F" w14:textId="13BFDA75" w:rsidR="00F10621" w:rsidRPr="00480642" w:rsidRDefault="00F10621" w:rsidP="003F7876">
      <w:pPr>
        <w:spacing w:after="0" w:line="240" w:lineRule="auto"/>
        <w:ind w:left="720" w:hanging="360"/>
        <w:jc w:val="both"/>
        <w:rPr>
          <w:rFonts w:ascii="Times New Roman" w:hAnsi="Times New Roman"/>
          <w:sz w:val="24"/>
          <w:szCs w:val="24"/>
        </w:rPr>
      </w:pPr>
      <w:r>
        <w:rPr>
          <w:rFonts w:ascii="Times New Roman" w:hAnsi="Times New Roman"/>
          <w:sz w:val="24"/>
        </w:rPr>
        <w:t xml:space="preserve">Netaikoma. </w:t>
      </w:r>
    </w:p>
    <w:p w14:paraId="60E4CC16" w14:textId="77777777" w:rsidR="00F10621" w:rsidRPr="00712B34" w:rsidRDefault="00F10621" w:rsidP="00490C76">
      <w:pPr>
        <w:pStyle w:val="paragraph"/>
        <w:ind w:left="0" w:firstLine="0"/>
      </w:pPr>
    </w:p>
    <w:p w14:paraId="60E4CC18" w14:textId="37415739" w:rsidR="00F10621" w:rsidRPr="00480642" w:rsidRDefault="00F10621" w:rsidP="003F7876">
      <w:pPr>
        <w:pStyle w:val="Heading2"/>
      </w:pPr>
      <w:bookmarkStart w:id="805" w:name="_Toc107578115"/>
      <w:r>
        <w:rPr>
          <w:rStyle w:val="SubtitleChar"/>
          <w:rFonts w:ascii="Times New Roman" w:hAnsi="Times New Roman"/>
          <w:b/>
          <w:i/>
        </w:rPr>
        <w:t>I.4.4</w:t>
      </w:r>
      <w:r>
        <w:rPr>
          <w:b w:val="0"/>
          <w:i w:val="0"/>
        </w:rPr>
        <w:t xml:space="preserve"> </w:t>
      </w:r>
      <w:r>
        <w:t>Galutinė ataskaita ir prašymas išmokėti likutį</w:t>
      </w:r>
      <w:bookmarkEnd w:id="805"/>
      <w:r>
        <w:rPr>
          <w:b w:val="0"/>
          <w:i w:val="0"/>
        </w:rPr>
        <w:t xml:space="preserve"> </w:t>
      </w:r>
    </w:p>
    <w:p w14:paraId="60E4CC23" w14:textId="0C84EA1C" w:rsidR="00F10621" w:rsidRPr="00480642" w:rsidRDefault="00F10621" w:rsidP="00F10621">
      <w:pPr>
        <w:spacing w:after="0" w:line="240" w:lineRule="auto"/>
        <w:jc w:val="both"/>
        <w:rPr>
          <w:rFonts w:ascii="Times New Roman" w:hAnsi="Times New Roman"/>
          <w:sz w:val="24"/>
          <w:szCs w:val="24"/>
        </w:rPr>
      </w:pPr>
    </w:p>
    <w:p w14:paraId="60E4CC24" w14:textId="5E84E0B2" w:rsidR="00E04895" w:rsidRPr="00480642" w:rsidRDefault="00F10621" w:rsidP="00E04895">
      <w:pPr>
        <w:spacing w:after="0" w:line="240" w:lineRule="auto"/>
        <w:jc w:val="both"/>
        <w:rPr>
          <w:rFonts w:ascii="Times New Roman" w:hAnsi="Times New Roman"/>
          <w:sz w:val="24"/>
          <w:szCs w:val="24"/>
        </w:rPr>
      </w:pPr>
      <w:r>
        <w:rPr>
          <w:rFonts w:ascii="Times New Roman" w:hAnsi="Times New Roman"/>
          <w:sz w:val="24"/>
        </w:rPr>
        <w:t>Per [60] [</w:t>
      </w:r>
      <w:r>
        <w:rPr>
          <w:rFonts w:ascii="Times New Roman" w:hAnsi="Times New Roman"/>
          <w:sz w:val="24"/>
          <w:highlight w:val="lightGray"/>
          <w:shd w:val="clear" w:color="auto" w:fill="00FFFF"/>
        </w:rPr>
        <w:t>arba trumpesnį laikotarpį, kurį nustato NA</w:t>
      </w:r>
      <w:r>
        <w:rPr>
          <w:rFonts w:ascii="Times New Roman" w:hAnsi="Times New Roman"/>
          <w:sz w:val="24"/>
        </w:rPr>
        <w:t xml:space="preserve">] kalendorinių dienų po I.2.2 straipsnyje nustatytos projekto pabaigos datos gavėjas turi pateikti galutinę projekto įgyvendinimo ataskaitą, naudodamasis I.10 straipsnyje nustatytomis ataskaitų teikimo priemonėmis. Šioje ataskaitoje turi būti pateikta reikiama informacija prašomos sumos mokėjimui vieneto įnašais pagrįsti, kai dotacija teikiama kompensuojant vieneto įnašus arba faktiškai patirtas tinkamas finansuoti išlaidas pagal III priedą. </w:t>
      </w:r>
    </w:p>
    <w:p w14:paraId="60E4CC25" w14:textId="4F54AAEB" w:rsidR="00E04895" w:rsidRPr="00712B34" w:rsidRDefault="00E04895" w:rsidP="00E04895">
      <w:pPr>
        <w:spacing w:after="0" w:line="240" w:lineRule="auto"/>
        <w:jc w:val="both"/>
        <w:rPr>
          <w:rFonts w:ascii="Times New Roman" w:hAnsi="Times New Roman"/>
          <w:sz w:val="24"/>
          <w:szCs w:val="24"/>
        </w:rPr>
      </w:pPr>
    </w:p>
    <w:p w14:paraId="60E4CC26" w14:textId="52FF3332" w:rsidR="00E04895"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 xml:space="preserve">Galutinė ataskaita laikoma gavėjo prašymu išmokėti dotacijos likutį. </w:t>
      </w:r>
    </w:p>
    <w:p w14:paraId="60E4CC27" w14:textId="534EA351" w:rsidR="00E04895" w:rsidRPr="00712B34" w:rsidRDefault="00E04895" w:rsidP="00F10621">
      <w:pPr>
        <w:spacing w:after="0" w:line="240" w:lineRule="auto"/>
        <w:jc w:val="both"/>
        <w:rPr>
          <w:rFonts w:ascii="Times New Roman" w:hAnsi="Times New Roman"/>
          <w:sz w:val="24"/>
          <w:szCs w:val="24"/>
        </w:rPr>
      </w:pPr>
    </w:p>
    <w:p w14:paraId="60E4CC28" w14:textId="78B9CF55"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 xml:space="preserve">Gavėjas turi patvirtinti, </w:t>
      </w:r>
      <w:r>
        <w:rPr>
          <w:rFonts w:ascii="Times New Roman" w:hAnsi="Times New Roman"/>
          <w:color w:val="000000"/>
          <w:sz w:val="24"/>
        </w:rPr>
        <w:t>kad prašyme išmokėti likutį pateikta informacija yra išsami, patikima ir teisinga</w:t>
      </w:r>
      <w:r>
        <w:rPr>
          <w:rFonts w:ascii="Times New Roman" w:hAnsi="Times New Roman"/>
          <w:sz w:val="24"/>
        </w:rPr>
        <w:t>.</w:t>
      </w:r>
      <w:r>
        <w:rPr>
          <w:rFonts w:ascii="Times New Roman" w:hAnsi="Times New Roman"/>
          <w:color w:val="000000"/>
          <w:sz w:val="24"/>
        </w:rPr>
        <w:t xml:space="preserve"> Jis taip pat turi patvirtinti, kad patirtas išlaidas galima laikyti tinkamomis finansuoti pagal Sutartį</w:t>
      </w:r>
      <w:r>
        <w:rPr>
          <w:rFonts w:ascii="Times New Roman" w:hAnsi="Times New Roman"/>
          <w:sz w:val="24"/>
        </w:rPr>
        <w:t xml:space="preserve"> </w:t>
      </w:r>
      <w:r>
        <w:rPr>
          <w:rFonts w:ascii="Times New Roman" w:hAnsi="Times New Roman"/>
          <w:color w:val="000000"/>
          <w:sz w:val="24"/>
        </w:rPr>
        <w:t>ir kad prašymas atlikti mokėjimą yra pagrįstas pakankamais patvirtinamaisiais dokumentais, kurie gali būti pateikti atliekant II.27 straipsnyje aprašytas patikras arba auditą</w:t>
      </w:r>
      <w:r>
        <w:rPr>
          <w:rFonts w:ascii="Times New Roman" w:hAnsi="Times New Roman"/>
          <w:sz w:val="24"/>
        </w:rPr>
        <w:t>.</w:t>
      </w:r>
      <w:r>
        <w:rPr>
          <w:rFonts w:ascii="Times New Roman" w:hAnsi="Times New Roman"/>
          <w:color w:val="000000"/>
          <w:sz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A" w14:textId="12151EA2" w:rsidR="00F10621" w:rsidRPr="003F7876" w:rsidRDefault="00F10621">
      <w:pPr>
        <w:pStyle w:val="Heading2"/>
        <w:rPr>
          <w:rStyle w:val="paragraphpartIIChar"/>
          <w:rFonts w:eastAsia="Arial Unicode MS"/>
          <w:i w:val="0"/>
          <w:iCs w:val="0"/>
        </w:rPr>
      </w:pPr>
      <w:bookmarkStart w:id="806" w:name="_Toc107578116"/>
      <w:r>
        <w:rPr>
          <w:rStyle w:val="paragraphpartIIChar"/>
          <w:rFonts w:eastAsia="Arial Unicode MS"/>
          <w:i w:val="0"/>
        </w:rPr>
        <w:t>I.4.5. Likučio išmokėjimas</w:t>
      </w:r>
      <w:bookmarkEnd w:id="806"/>
      <w:r>
        <w:rPr>
          <w:rStyle w:val="paragraphpartIIChar"/>
          <w:rFonts w:eastAsia="Arial Unicode MS"/>
          <w:i w:val="0"/>
        </w:rPr>
        <w:t xml:space="preserve"> </w:t>
      </w:r>
    </w:p>
    <w:p w14:paraId="60E4CC2B" w14:textId="77777777" w:rsidR="00F10621" w:rsidRPr="00480642" w:rsidRDefault="00F10621" w:rsidP="00F10621">
      <w:pPr>
        <w:spacing w:after="0" w:line="240" w:lineRule="auto"/>
        <w:jc w:val="both"/>
        <w:rPr>
          <w:rFonts w:ascii="Times New Roman" w:hAnsi="Times New Roman"/>
          <w:sz w:val="24"/>
          <w:szCs w:val="24"/>
        </w:rPr>
      </w:pPr>
    </w:p>
    <w:p w14:paraId="60E4CC2C" w14:textId="77777777"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 xml:space="preserve">Išmokant likutį kompensuojama arba padengiama likusi gavėjo patirtų tinkamų finansuoti projekto įgyvendinimo išlaidų dalis.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55445C62" w:rsidR="00F10621" w:rsidRPr="003F7876" w:rsidDel="003E17D4" w:rsidRDefault="00F10621">
      <w:pPr>
        <w:jc w:val="both"/>
        <w:rPr>
          <w:rFonts w:ascii="Times New Roman" w:hAnsi="Times New Roman"/>
          <w:sz w:val="24"/>
          <w:szCs w:val="24"/>
        </w:rPr>
      </w:pPr>
      <w:r>
        <w:rPr>
          <w:rFonts w:ascii="Times New Roman" w:hAnsi="Times New Roman"/>
          <w:sz w:val="24"/>
        </w:rPr>
        <w:t>Mokėtiną likučio sumą NA nustato atimdama bendrą jau suteikto išankstinio finansavimo sumą iš galutinės dotacijos sumos, nustatytos pagal II.25 straipsnį.</w:t>
      </w:r>
    </w:p>
    <w:p w14:paraId="60E4CC2F" w14:textId="67FAA5D2" w:rsidR="00F10621" w:rsidRPr="00480642" w:rsidRDefault="00F10621" w:rsidP="00F10621">
      <w:pPr>
        <w:jc w:val="both"/>
        <w:rPr>
          <w:rFonts w:ascii="Times New Roman" w:hAnsi="Times New Roman"/>
          <w:sz w:val="24"/>
          <w:szCs w:val="24"/>
        </w:rPr>
      </w:pPr>
      <w:r>
        <w:rPr>
          <w:rFonts w:ascii="Times New Roman" w:hAnsi="Times New Roman"/>
          <w:sz w:val="24"/>
        </w:rPr>
        <w:t>Jeigu bendra ankstesnių mokėjimų suma yra didesnė negu galutinė dotacijos suma, nustatyta pagal II.25 straipsnį, likučio išmokėjimo forma yra lėšų susigrąžinimas, kaip nurodyta II.26 straipsnyje.</w:t>
      </w:r>
    </w:p>
    <w:p w14:paraId="60E4CC30" w14:textId="77777777" w:rsidR="00F10621" w:rsidRPr="003F7876" w:rsidRDefault="00F10621">
      <w:pPr>
        <w:jc w:val="both"/>
        <w:rPr>
          <w:rFonts w:ascii="Times New Roman" w:hAnsi="Times New Roman"/>
          <w:sz w:val="24"/>
          <w:szCs w:val="24"/>
        </w:rPr>
      </w:pPr>
      <w:r>
        <w:rPr>
          <w:rFonts w:ascii="Times New Roman" w:hAnsi="Times New Roman"/>
          <w:sz w:val="24"/>
        </w:rPr>
        <w:t>Jeigu bendra ankstesnių mokėjimų suma yra mažesnė negu galutinė dotacijos suma, nustatyta pagal II.25 straipsnį, NA turi išmokėti likutį per [60] [</w:t>
      </w:r>
      <w:r>
        <w:rPr>
          <w:rFonts w:ascii="Times New Roman" w:hAnsi="Times New Roman"/>
          <w:i/>
          <w:iCs/>
          <w:sz w:val="24"/>
          <w:highlight w:val="lightGray"/>
        </w:rPr>
        <w:t xml:space="preserve">arba anksčiau, jei to reikalaujama NA </w:t>
      </w:r>
      <w:r>
        <w:rPr>
          <w:rFonts w:ascii="Times New Roman" w:hAnsi="Times New Roman"/>
          <w:i/>
          <w:iCs/>
          <w:sz w:val="24"/>
          <w:highlight w:val="lightGray"/>
        </w:rPr>
        <w:lastRenderedPageBreak/>
        <w:t>taikytinose taisyklėse</w:t>
      </w:r>
      <w:r>
        <w:rPr>
          <w:rFonts w:ascii="Times New Roman" w:hAnsi="Times New Roman"/>
          <w:sz w:val="24"/>
        </w:rPr>
        <w:t>] [</w:t>
      </w:r>
      <w:r>
        <w:rPr>
          <w:rFonts w:ascii="Times New Roman" w:hAnsi="Times New Roman"/>
          <w:sz w:val="24"/>
          <w:highlight w:val="lightGray"/>
        </w:rPr>
        <w:t>…</w:t>
      </w:r>
      <w:r>
        <w:rPr>
          <w:rFonts w:ascii="Times New Roman" w:hAnsi="Times New Roman"/>
          <w:sz w:val="24"/>
        </w:rPr>
        <w:t>] kalendorinių dienų nuo tada, kai ji gauna I.4.4 straipsnyje nurodytus dokumentus, išskyrus atvejus, kai taikomas II.24.1 arba II.24.2 straipsnis.</w:t>
      </w:r>
    </w:p>
    <w:p w14:paraId="60E4CC33" w14:textId="77777777" w:rsidR="00F10621" w:rsidRPr="00480642" w:rsidRDefault="00F10621" w:rsidP="00F10621">
      <w:pPr>
        <w:jc w:val="both"/>
        <w:rPr>
          <w:rFonts w:ascii="Times New Roman" w:hAnsi="Times New Roman"/>
          <w:sz w:val="24"/>
          <w:szCs w:val="24"/>
        </w:rPr>
      </w:pPr>
      <w:r>
        <w:rPr>
          <w:rFonts w:ascii="Times New Roman" w:hAnsi="Times New Roman"/>
          <w:sz w:val="24"/>
        </w:rPr>
        <w:t>Mokėjimas atliekamas tik patvirtinus prašymą išmokėti likutį ir prie jo pridėtus dokumentus. Jų patvirtinimas nereiškia, kad jų turinys pripažįstamas atitinkančiu reikalavimus, autentišku, išsamiu ar tiksliu.</w:t>
      </w:r>
    </w:p>
    <w:p w14:paraId="60E4CC34" w14:textId="7355EC66" w:rsidR="00F10621" w:rsidRPr="00480642" w:rsidRDefault="00F10621" w:rsidP="00F10621">
      <w:pPr>
        <w:jc w:val="both"/>
        <w:rPr>
          <w:rFonts w:ascii="Times New Roman" w:hAnsi="Times New Roman"/>
          <w:sz w:val="24"/>
          <w:szCs w:val="24"/>
        </w:rPr>
      </w:pPr>
      <w:r>
        <w:rPr>
          <w:rFonts w:ascii="Times New Roman" w:hAnsi="Times New Roman"/>
          <w:sz w:val="24"/>
        </w:rPr>
        <w:t>Tačiau mokėtina suma gali būti įskaityta išskaičiuojant ją iš bet kokios kitos sumos, kurią gavėjas skolingas NA, neviršijant didžiausios dotacijos sumos; tam gavėjo sutikimo nereikia.</w:t>
      </w:r>
    </w:p>
    <w:p w14:paraId="60E4CC35" w14:textId="1078FAF1" w:rsidR="00F10621" w:rsidRPr="003F7876" w:rsidRDefault="00F10621">
      <w:pPr>
        <w:pStyle w:val="StyleHeading2TimesNewRoman"/>
        <w:rPr>
          <w:rFonts w:cs="Times New Roman"/>
          <w:i w:val="0"/>
          <w:iCs w:val="0"/>
        </w:rPr>
      </w:pPr>
      <w:bookmarkStart w:id="807" w:name="_Toc441250782"/>
      <w:bookmarkStart w:id="808" w:name="_Toc441509631"/>
      <w:bookmarkStart w:id="809" w:name="_Toc446535830"/>
      <w:bookmarkStart w:id="810" w:name="_Toc107578117"/>
      <w:r>
        <w:rPr>
          <w:i w:val="0"/>
        </w:rPr>
        <w:t>I.4.6</w:t>
      </w:r>
      <w:r>
        <w:tab/>
      </w:r>
      <w:r>
        <w:rPr>
          <w:i w:val="0"/>
        </w:rPr>
        <w:t>Pranešimas apie mokėtinas sumas</w:t>
      </w:r>
      <w:bookmarkEnd w:id="807"/>
      <w:bookmarkEnd w:id="808"/>
      <w:bookmarkEnd w:id="809"/>
      <w:bookmarkEnd w:id="810"/>
    </w:p>
    <w:p w14:paraId="60E4CC37" w14:textId="65724DBB" w:rsidR="00F10621" w:rsidRPr="00480642" w:rsidRDefault="00F10621" w:rsidP="00F10621">
      <w:pPr>
        <w:jc w:val="both"/>
        <w:rPr>
          <w:rFonts w:ascii="Times New Roman" w:hAnsi="Times New Roman"/>
          <w:sz w:val="24"/>
          <w:szCs w:val="24"/>
        </w:rPr>
      </w:pPr>
      <w:r>
        <w:rPr>
          <w:rFonts w:ascii="Times New Roman" w:hAnsi="Times New Roman"/>
          <w:sz w:val="24"/>
        </w:rPr>
        <w:t xml:space="preserve">NA turi nusiųsti gavėjui </w:t>
      </w:r>
      <w:r>
        <w:rPr>
          <w:rFonts w:ascii="Times New Roman" w:hAnsi="Times New Roman"/>
          <w:i/>
          <w:sz w:val="24"/>
        </w:rPr>
        <w:t>oficialų pranešimą</w:t>
      </w:r>
      <w:r>
        <w:rPr>
          <w:rFonts w:ascii="Times New Roman" w:hAnsi="Times New Roman"/>
          <w:sz w:val="24"/>
        </w:rPr>
        <w:t>, kuriuo:</w:t>
      </w:r>
    </w:p>
    <w:p w14:paraId="60E4CC38" w14:textId="77777777" w:rsidR="00F10621" w:rsidRPr="003F7876" w:rsidRDefault="00F10621" w:rsidP="003F7876">
      <w:pPr>
        <w:numPr>
          <w:ilvl w:val="0"/>
          <w:numId w:val="32"/>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jam pranešama apie mokėtiną sumą ir</w:t>
      </w:r>
    </w:p>
    <w:p w14:paraId="60E4CC39" w14:textId="77777777" w:rsidR="00632574" w:rsidRPr="003F7876" w:rsidRDefault="00F10621" w:rsidP="003F7876">
      <w:pPr>
        <w:numPr>
          <w:ilvl w:val="0"/>
          <w:numId w:val="32"/>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kuriame nurodoma, ar tas pranešimas yra dėl tolesnio išankstinio finansavimo mokėjimo, ar dėl likučio išmokėjimo.</w:t>
      </w:r>
    </w:p>
    <w:p w14:paraId="60E4CC3A" w14:textId="147FBECA" w:rsidR="00F10621" w:rsidRPr="003F7876" w:rsidRDefault="00F10621" w:rsidP="003F7876">
      <w:p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Likučio išmokėjimo atveju NA taip pat turi nurodyti pagal II.25 straipsnį nustatytą galutinę dotacijos sumą.</w:t>
      </w:r>
    </w:p>
    <w:p w14:paraId="271021CE" w14:textId="5E0C3E60" w:rsidR="008A4FA1" w:rsidRPr="003F7876" w:rsidRDefault="008A4FA1">
      <w:pPr>
        <w:pStyle w:val="Heading2"/>
        <w:rPr>
          <w:rFonts w:cs="Times New Roman"/>
          <w:i w:val="0"/>
          <w:iCs w:val="0"/>
        </w:rPr>
      </w:pPr>
      <w:bookmarkStart w:id="811" w:name="_Toc441250787"/>
      <w:bookmarkStart w:id="812" w:name="_Toc441509636"/>
      <w:bookmarkStart w:id="813" w:name="_Toc446535835"/>
      <w:bookmarkStart w:id="814" w:name="_Toc529786050"/>
      <w:bookmarkStart w:id="815" w:name="_Toc472505159"/>
      <w:bookmarkStart w:id="816" w:name="_Toc107578118"/>
      <w:r>
        <w:rPr>
          <w:rStyle w:val="SubtitleChar"/>
          <w:rFonts w:ascii="Times New Roman" w:hAnsi="Times New Roman"/>
          <w:b/>
        </w:rPr>
        <w:t>I.4.7</w:t>
      </w:r>
      <w:r>
        <w:tab/>
      </w:r>
      <w:r>
        <w:rPr>
          <w:rStyle w:val="paragraphpartIIChar"/>
          <w:rFonts w:eastAsia="Arial Unicode MS"/>
          <w:b/>
          <w:i w:val="0"/>
        </w:rPr>
        <w:t>Mokėjimai gavėjui</w:t>
      </w:r>
      <w:bookmarkEnd w:id="811"/>
      <w:bookmarkEnd w:id="812"/>
      <w:bookmarkEnd w:id="813"/>
      <w:bookmarkEnd w:id="814"/>
      <w:bookmarkEnd w:id="815"/>
      <w:r>
        <w:rPr>
          <w:rStyle w:val="paragraphpartIIChar"/>
          <w:rFonts w:eastAsia="Arial Unicode MS"/>
          <w:b/>
          <w:i w:val="0"/>
        </w:rPr>
        <w:t xml:space="preserve"> ir delspinigiai už pavėluotą mokėjimą</w:t>
      </w:r>
      <w:bookmarkEnd w:id="816"/>
    </w:p>
    <w:p w14:paraId="0B7DB11E" w14:textId="0B40D43A" w:rsidR="00BF4062" w:rsidRPr="00FA12B5" w:rsidRDefault="00BF4062" w:rsidP="00BF4062">
      <w:pPr>
        <w:tabs>
          <w:tab w:val="left" w:pos="851"/>
        </w:tabs>
        <w:spacing w:after="0" w:line="240" w:lineRule="auto"/>
        <w:jc w:val="both"/>
        <w:rPr>
          <w:rFonts w:ascii="Times New Roman" w:hAnsi="Times New Roman"/>
          <w:sz w:val="24"/>
          <w:szCs w:val="24"/>
        </w:rPr>
      </w:pPr>
      <w:r>
        <w:rPr>
          <w:rFonts w:ascii="Times New Roman" w:hAnsi="Times New Roman"/>
          <w:sz w:val="24"/>
        </w:rPr>
        <w:t>NA turi atlikti mokėjimus gavėjui.</w:t>
      </w:r>
    </w:p>
    <w:p w14:paraId="3BE0E06E" w14:textId="2BAA9B45" w:rsidR="001218CB" w:rsidRPr="003F7876" w:rsidRDefault="001218CB" w:rsidP="003F7876">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sz w:val="24"/>
        </w:rPr>
        <w:t>Jei NA nesumoka iki nustatyto mokėjimo termino, gavėjas turi teisę reikalauti delspinigių už pavėluotą mokėjimą, apskaičiuotų pagal palūkanų normą, kurią Europos Centrinis Bankas taiko pagrindinėms savo refinansavimo operacijoms eurais (toliau – pagrindinė palūkanų norma), padidinus ją trimis su puse punkto. Pagrindinė palūkanų norma yra Europos Sąjungos oficialiojo leidinio C serijoje paskelbta pirmąją mėnesio, kurį baigiasi mokėjimo terminas, dieną galiojanti norma.</w:t>
      </w:r>
    </w:p>
    <w:p w14:paraId="3D0EB966" w14:textId="77777777" w:rsidR="001218CB" w:rsidRPr="003F7876" w:rsidRDefault="001218CB" w:rsidP="003F7876">
      <w:pPr>
        <w:spacing w:before="100" w:beforeAutospacing="1" w:after="100" w:afterAutospacing="1" w:line="240" w:lineRule="auto"/>
        <w:jc w:val="both"/>
        <w:rPr>
          <w:rFonts w:ascii="Times New Roman" w:hAnsi="Times New Roman"/>
          <w:sz w:val="24"/>
          <w:szCs w:val="24"/>
        </w:rPr>
      </w:pPr>
      <w:r>
        <w:rPr>
          <w:rFonts w:ascii="Times New Roman" w:hAnsi="Times New Roman"/>
          <w:sz w:val="24"/>
        </w:rPr>
        <w:t>Delspinigiai už pavėluotą mokėjimą netaikomi, jei gavėjas yra Sąjungos valstybė narė (įskaitant regionų ir vietos valdžios institucijas ir kitas valstybės narės vardu ir jos labui Sutarties tikslu veikiančias viešąsias įstaigas).</w:t>
      </w:r>
    </w:p>
    <w:p w14:paraId="78EB44EF" w14:textId="5B74BDD9" w:rsidR="001218CB" w:rsidRPr="003F7876" w:rsidRDefault="001218CB" w:rsidP="003F7876">
      <w:pPr>
        <w:spacing w:before="100" w:beforeAutospacing="1" w:after="100" w:afterAutospacing="1" w:line="240" w:lineRule="auto"/>
        <w:jc w:val="both"/>
        <w:rPr>
          <w:rFonts w:ascii="Times New Roman" w:hAnsi="Times New Roman"/>
          <w:sz w:val="24"/>
          <w:szCs w:val="24"/>
        </w:rPr>
      </w:pPr>
      <w:r>
        <w:rPr>
          <w:rFonts w:ascii="Times New Roman" w:hAnsi="Times New Roman"/>
          <w:sz w:val="24"/>
        </w:rPr>
        <w:t>Jeigu NA sustabdo mokėjimo terminą, kaip numatyta II.24.2 straipsnyje, arba sustabdo pačius mokėjimus, kaip numatyta II.24.1 straipsnyje, šių veiksmų negalima laikyti pavėluotu mokėjimu.</w:t>
      </w:r>
    </w:p>
    <w:p w14:paraId="74C07E94" w14:textId="28A4086C" w:rsidR="001218CB" w:rsidRPr="003F7876" w:rsidRDefault="001218CB" w:rsidP="003F7876">
      <w:pPr>
        <w:spacing w:before="100" w:beforeAutospacing="1" w:after="100" w:afterAutospacing="1" w:line="240" w:lineRule="auto"/>
        <w:jc w:val="both"/>
        <w:rPr>
          <w:rFonts w:ascii="Times New Roman" w:hAnsi="Times New Roman"/>
          <w:sz w:val="24"/>
          <w:szCs w:val="24"/>
        </w:rPr>
      </w:pPr>
      <w:r>
        <w:rPr>
          <w:rFonts w:ascii="Times New Roman" w:hAnsi="Times New Roman"/>
          <w:sz w:val="24"/>
        </w:rPr>
        <w:t>Delspinigiai už pavėluotą mokėjimą skaičiuojami už laikotarpį nuo kitos dienos po mokėjimo termino dienos iki faktinio sumokėjimo dienos imtinai, kaip nustatyta I.4.11 straipsnyje. Nustatydama II.25 straipsnyje apibrėžtą galutinę dotacijos sumą į mokėtinus delspinigius NA neatsižvelgia.</w:t>
      </w:r>
    </w:p>
    <w:p w14:paraId="17C4FA6A" w14:textId="7EAF2C5B" w:rsidR="001218CB" w:rsidRDefault="001218CB" w:rsidP="003F7876">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rPr>
        <w:lastRenderedPageBreak/>
        <w:t>Darant išimtį iš pirmos pastraipos nuostatos, jeigu apskaičiuota delspinigių suma yra ne didesnė negu 200 EUR, ji turi būti sumokėta gavėjui tik tuo atveju, jei gavėjas to paprašo per du mėnesius po pavėluoto mokėjimo gavimo dienos.</w:t>
      </w:r>
    </w:p>
    <w:p w14:paraId="6FBB40D3" w14:textId="58CE779E" w:rsidR="00BD628D" w:rsidRPr="003F7876" w:rsidRDefault="00BD628D" w:rsidP="003F7876">
      <w:pPr>
        <w:pStyle w:val="Heading2"/>
        <w:rPr>
          <w:rStyle w:val="paragraphpartIIChar"/>
          <w:rFonts w:eastAsia="Arial Unicode MS"/>
        </w:rPr>
      </w:pPr>
      <w:bookmarkStart w:id="817" w:name="_Toc107578119"/>
      <w:r>
        <w:rPr>
          <w:rStyle w:val="paragraphpartIIChar"/>
          <w:rFonts w:eastAsia="Arial Unicode MS"/>
          <w:b/>
          <w:i w:val="0"/>
        </w:rPr>
        <w:t>I.4.8</w:t>
      </w:r>
      <w:r>
        <w:tab/>
      </w:r>
      <w:r>
        <w:rPr>
          <w:rStyle w:val="paragraphpartIIChar"/>
          <w:rFonts w:eastAsia="Arial Unicode MS"/>
          <w:b/>
          <w:i w:val="0"/>
        </w:rPr>
        <w:t>Mokėjimų valiuta</w:t>
      </w:r>
      <w:bookmarkEnd w:id="817"/>
      <w:r>
        <w:rPr>
          <w:rStyle w:val="paragraphpartIIChar"/>
          <w:rFonts w:eastAsia="Arial Unicode MS"/>
          <w:b/>
          <w:i w:val="0"/>
        </w:rPr>
        <w:t xml:space="preserve"> </w:t>
      </w:r>
    </w:p>
    <w:p w14:paraId="60E4CC47" w14:textId="585D778F" w:rsidR="00F10621" w:rsidRDefault="001218CB" w:rsidP="003F7876">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rPr>
        <w:t>NA turi atlikti mokėjimus eurais.</w:t>
      </w:r>
    </w:p>
    <w:p w14:paraId="14C07AEC" w14:textId="3A990AA5" w:rsidR="00DA12E7" w:rsidRDefault="00DA12E7" w:rsidP="00DA12E7">
      <w:pPr>
        <w:pStyle w:val="Heading2"/>
        <w:rPr>
          <w:i w:val="0"/>
          <w:color w:val="000000" w:themeColor="text1"/>
          <w:szCs w:val="24"/>
        </w:rPr>
      </w:pPr>
      <w:bookmarkStart w:id="818" w:name="_Toc107578120"/>
      <w:r>
        <w:rPr>
          <w:i w:val="0"/>
          <w:color w:val="000000" w:themeColor="text1"/>
        </w:rPr>
        <w:t>I.4.9. Prašymuose atlikti mokėjimus nurodoma valiuta ir konvertavimas į eurus</w:t>
      </w:r>
      <w:bookmarkEnd w:id="818"/>
    </w:p>
    <w:p w14:paraId="5DD4018C" w14:textId="6F448CB5" w:rsidR="00DA12E7" w:rsidRPr="00C55BC2" w:rsidRDefault="00DA12E7" w:rsidP="00DA12E7">
      <w:pPr>
        <w:spacing w:after="0" w:line="240" w:lineRule="auto"/>
        <w:jc w:val="both"/>
        <w:rPr>
          <w:rFonts w:ascii="Times New Roman" w:hAnsi="Times New Roman"/>
          <w:sz w:val="24"/>
          <w:szCs w:val="24"/>
        </w:rPr>
      </w:pPr>
      <w:r>
        <w:rPr>
          <w:rFonts w:ascii="Times New Roman" w:hAnsi="Times New Roman"/>
          <w:sz w:val="24"/>
        </w:rPr>
        <w:t>Prašyme atlikti mokėjimą sumos turi būti nurodytos eurais.</w:t>
      </w:r>
    </w:p>
    <w:p w14:paraId="294C373F" w14:textId="77777777" w:rsidR="00DA12E7" w:rsidRPr="00480642" w:rsidRDefault="00DA12E7" w:rsidP="00DA12E7">
      <w:pPr>
        <w:spacing w:after="0" w:line="240" w:lineRule="auto"/>
        <w:jc w:val="both"/>
        <w:rPr>
          <w:rFonts w:ascii="Times New Roman" w:hAnsi="Times New Roman"/>
          <w:i/>
          <w:sz w:val="24"/>
          <w:szCs w:val="24"/>
          <w:highlight w:val="lightGray"/>
          <w:shd w:val="clear" w:color="auto" w:fill="00FFFF"/>
        </w:rPr>
      </w:pPr>
    </w:p>
    <w:p w14:paraId="6BF02820" w14:textId="30AB8A3B" w:rsidR="00DA12E7" w:rsidRPr="00E6068C" w:rsidRDefault="00DA12E7" w:rsidP="00DA12E7">
      <w:pPr>
        <w:spacing w:after="0" w:line="240" w:lineRule="auto"/>
        <w:jc w:val="both"/>
        <w:rPr>
          <w:rFonts w:ascii="Times New Roman" w:hAnsi="Times New Roman"/>
          <w:sz w:val="24"/>
        </w:rPr>
      </w:pPr>
      <w:r>
        <w:rPr>
          <w:rFonts w:ascii="Times New Roman" w:hAnsi="Times New Roman"/>
          <w:sz w:val="24"/>
        </w:rPr>
        <w:t xml:space="preserve">Gavėjas, kurio bendrosios sąskaitos tvarkomos kita nei eurai valiuta, turi konvertuoti kita valiuta išreikštas patirtų išlaidų sumas į eurus taikydamas nustatytą </w:t>
      </w:r>
      <w:r w:rsidRPr="00712B34">
        <w:rPr>
          <w:rFonts w:ascii="Times New Roman" w:hAnsi="Times New Roman"/>
          <w:i/>
          <w:sz w:val="24"/>
        </w:rPr>
        <w:t>Europos Sąjungos oficialiojo leidinio</w:t>
      </w:r>
      <w:r>
        <w:rPr>
          <w:rFonts w:ascii="Times New Roman" w:hAnsi="Times New Roman"/>
          <w:sz w:val="24"/>
        </w:rPr>
        <w:t xml:space="preserve"> C serijoje skelbiamų dienos valiutos kursų vidutinę vertę atitinkamu ataskaitiniu laikotarpiu (reikiamus duomenis galima gauti adresu </w:t>
      </w:r>
      <w:r>
        <w:tab/>
      </w:r>
      <w:r>
        <w:rPr>
          <w:rFonts w:ascii="Times New Roman" w:hAnsi="Times New Roman"/>
          <w:sz w:val="24"/>
        </w:rPr>
        <w:t xml:space="preserve"> </w:t>
      </w:r>
      <w:hyperlink r:id="rId17" w:history="1">
        <w:r>
          <w:rPr>
            <w:rFonts w:ascii="Times New Roman" w:hAnsi="Times New Roman"/>
            <w:sz w:val="24"/>
          </w:rPr>
          <w:t>http://www.ecb.europa.eu/stats/exchange/eurofxref/html/index.en.html</w:t>
        </w:r>
      </w:hyperlink>
      <w:r>
        <w:rPr>
          <w:rFonts w:ascii="Times New Roman" w:hAnsi="Times New Roman"/>
          <w:sz w:val="24"/>
        </w:rPr>
        <w:t>).</w:t>
      </w:r>
    </w:p>
    <w:p w14:paraId="77405553" w14:textId="77777777" w:rsidR="00DA12E7" w:rsidRPr="00B9087F" w:rsidRDefault="00DA12E7" w:rsidP="00DA12E7">
      <w:pPr>
        <w:spacing w:after="0" w:line="240" w:lineRule="auto"/>
        <w:jc w:val="both"/>
        <w:rPr>
          <w:rFonts w:ascii="Times New Roman" w:hAnsi="Times New Roman"/>
          <w:sz w:val="24"/>
        </w:rPr>
      </w:pPr>
    </w:p>
    <w:p w14:paraId="7A163B2C" w14:textId="77777777" w:rsidR="00DA12E7" w:rsidRPr="00E6068C" w:rsidRDefault="00DA12E7" w:rsidP="00DA12E7">
      <w:pPr>
        <w:spacing w:after="0" w:line="240" w:lineRule="auto"/>
        <w:jc w:val="both"/>
        <w:rPr>
          <w:rFonts w:ascii="Times New Roman" w:hAnsi="Times New Roman"/>
          <w:sz w:val="24"/>
        </w:rPr>
      </w:pPr>
      <w:r>
        <w:rPr>
          <w:rFonts w:ascii="Times New Roman" w:hAnsi="Times New Roman"/>
          <w:sz w:val="24"/>
        </w:rPr>
        <w:t>Jeigu euro ir atitinkamos valiutos keitimo dienos kursas neskelbiamas Europos Sąjungos oficialiajame leidinyje, ta valiuta turi būti konvertuojama taikant Komisijos nustatytų ir jos svetainėje (</w:t>
      </w:r>
      <w:hyperlink r:id="rId18" w:history="1">
        <w:r>
          <w:rPr>
            <w:rFonts w:ascii="Times New Roman" w:hAnsi="Times New Roman"/>
            <w:sz w:val="24"/>
          </w:rPr>
          <w:t>http://ec.europa.eu/budget/contracts_grants/info_contracts/inforeuro/inforeuro_en.cfm</w:t>
        </w:r>
      </w:hyperlink>
      <w:r>
        <w:rPr>
          <w:rFonts w:ascii="Times New Roman" w:hAnsi="Times New Roman"/>
          <w:sz w:val="24"/>
        </w:rPr>
        <w:t>) skelbiamų mėnesio apskaitos kursų vidutinę vertę atitinkamu ataskaitiniu laikotarpiu.</w:t>
      </w:r>
    </w:p>
    <w:p w14:paraId="41E90816" w14:textId="77777777" w:rsidR="00DA12E7" w:rsidRPr="00B9087F" w:rsidRDefault="00DA12E7" w:rsidP="00DA12E7">
      <w:pPr>
        <w:spacing w:after="0" w:line="240" w:lineRule="auto"/>
        <w:jc w:val="both"/>
        <w:rPr>
          <w:rFonts w:ascii="Times New Roman" w:hAnsi="Times New Roman"/>
          <w:sz w:val="24"/>
        </w:rPr>
      </w:pPr>
    </w:p>
    <w:p w14:paraId="23E80CA2" w14:textId="77777777" w:rsidR="00DA12E7" w:rsidRPr="00E6068C" w:rsidRDefault="00DA12E7" w:rsidP="00DA12E7">
      <w:pPr>
        <w:spacing w:after="0" w:line="240" w:lineRule="auto"/>
        <w:jc w:val="both"/>
        <w:rPr>
          <w:rFonts w:ascii="Times New Roman" w:hAnsi="Times New Roman"/>
          <w:sz w:val="24"/>
        </w:rPr>
      </w:pPr>
      <w:r>
        <w:rPr>
          <w:rFonts w:ascii="Times New Roman" w:hAnsi="Times New Roman"/>
          <w:sz w:val="24"/>
        </w:rPr>
        <w:t>Gavėjas, kurio bendrosios sąskaitos tvarkomos eurais, turi konvertuoti kita valiuta išreikštas patirtų išlaidų sumas į eurus pagal įprastą savo apskaitos praktiką.</w:t>
      </w:r>
    </w:p>
    <w:p w14:paraId="1839781F" w14:textId="77777777" w:rsidR="00DA12E7" w:rsidRPr="00480642" w:rsidRDefault="00DA12E7" w:rsidP="00DA12E7">
      <w:pPr>
        <w:spacing w:after="0" w:line="240" w:lineRule="auto"/>
        <w:jc w:val="both"/>
        <w:rPr>
          <w:rFonts w:ascii="Times New Roman" w:hAnsi="Times New Roman"/>
          <w:sz w:val="24"/>
          <w:szCs w:val="24"/>
          <w:highlight w:val="yellow"/>
          <w:shd w:val="clear" w:color="auto" w:fill="00FFFF"/>
        </w:rPr>
      </w:pPr>
    </w:p>
    <w:p w14:paraId="6FC20BDC" w14:textId="77777777" w:rsidR="00DA12E7" w:rsidRPr="007D59C9" w:rsidRDefault="00DA12E7" w:rsidP="00DA12E7">
      <w:pPr>
        <w:spacing w:after="0" w:line="240" w:lineRule="auto"/>
        <w:jc w:val="both"/>
        <w:rPr>
          <w:rFonts w:ascii="Times New Roman" w:hAnsi="Times New Roman"/>
          <w:b/>
          <w:iCs/>
          <w:sz w:val="24"/>
        </w:rPr>
      </w:pPr>
      <w:r>
        <w:rPr>
          <w:rFonts w:ascii="Times New Roman" w:hAnsi="Times New Roman"/>
          <w:sz w:val="24"/>
          <w:highlight w:val="lightGray"/>
          <w:shd w:val="clear" w:color="auto" w:fill="00FFFF"/>
        </w:rPr>
        <w:t>[Jeigu NA renkasi taikyti kitokį, nei pirmiau nurodytasis, konvertavimo kursą arba jeigu nacionalinės teisės aktuose yra nustatyta kitokių prievolių:</w:t>
      </w:r>
    </w:p>
    <w:p w14:paraId="024DE585" w14:textId="77777777" w:rsidR="00DA12E7" w:rsidRPr="00E6068C" w:rsidRDefault="00DA12E7" w:rsidP="00DA12E7">
      <w:pPr>
        <w:spacing w:after="0" w:line="240" w:lineRule="auto"/>
        <w:jc w:val="both"/>
        <w:rPr>
          <w:rFonts w:ascii="Times New Roman" w:hAnsi="Times New Roman"/>
          <w:sz w:val="24"/>
          <w:highlight w:val="yellow"/>
        </w:rPr>
      </w:pPr>
    </w:p>
    <w:p w14:paraId="016AD6B1" w14:textId="77777777" w:rsidR="00DA12E7" w:rsidRPr="00E6068C" w:rsidRDefault="00DA12E7" w:rsidP="00DA12E7">
      <w:pPr>
        <w:spacing w:after="0" w:line="240" w:lineRule="auto"/>
        <w:jc w:val="both"/>
        <w:rPr>
          <w:rFonts w:ascii="Times New Roman" w:hAnsi="Times New Roman"/>
          <w:sz w:val="24"/>
        </w:rPr>
      </w:pPr>
      <w:r>
        <w:rPr>
          <w:rFonts w:ascii="Times New Roman" w:hAnsi="Times New Roman"/>
          <w:sz w:val="24"/>
        </w:rPr>
        <w:t>Bet kokį kitomis valiutomis patirtų išlaidų konvertavimą į eurus gavėjas turi atlikti taikydamas [</w:t>
      </w:r>
      <w:r>
        <w:rPr>
          <w:rFonts w:ascii="Times New Roman" w:hAnsi="Times New Roman"/>
          <w:sz w:val="24"/>
          <w:highlight w:val="lightGray"/>
        </w:rPr>
        <w:t>atitinkamo mėnesio valiutos kursą, nustatytą Komisijos ir paskelbtą jos svetainėje</w:t>
      </w:r>
      <w:r>
        <w:rPr>
          <w:rFonts w:ascii="Times New Roman" w:hAnsi="Times New Roman"/>
          <w:sz w:val="24"/>
        </w:rPr>
        <w:t>]</w:t>
      </w:r>
      <w:r>
        <w:rPr>
          <w:rStyle w:val="FootnoteReference"/>
          <w:rFonts w:ascii="Times New Roman" w:hAnsi="Times New Roman"/>
          <w:sz w:val="24"/>
        </w:rPr>
        <w:footnoteReference w:id="12"/>
      </w:r>
      <w:r>
        <w:rPr>
          <w:rFonts w:ascii="Times New Roman" w:hAnsi="Times New Roman"/>
          <w:sz w:val="24"/>
        </w:rPr>
        <w:t>[</w:t>
      </w:r>
      <w:r>
        <w:rPr>
          <w:rFonts w:ascii="Times New Roman" w:hAnsi="Times New Roman"/>
          <w:sz w:val="24"/>
          <w:highlight w:val="lightGray"/>
          <w:shd w:val="clear" w:color="auto" w:fill="00FFFF"/>
        </w:rPr>
        <w:t xml:space="preserve">dienos valiutų kursus, skelbiamus </w:t>
      </w:r>
      <w:r>
        <w:rPr>
          <w:rFonts w:ascii="Times New Roman" w:hAnsi="Times New Roman"/>
          <w:i/>
          <w:iCs/>
          <w:sz w:val="24"/>
          <w:highlight w:val="lightGray"/>
          <w:shd w:val="clear" w:color="auto" w:fill="00FFFF"/>
        </w:rPr>
        <w:t xml:space="preserve">Europos Sąjungos oficialiojo leidinio </w:t>
      </w:r>
      <w:r>
        <w:rPr>
          <w:rFonts w:ascii="Times New Roman" w:hAnsi="Times New Roman"/>
          <w:sz w:val="24"/>
          <w:highlight w:val="lightGray"/>
          <w:shd w:val="clear" w:color="auto" w:fill="00FFFF"/>
        </w:rPr>
        <w:t xml:space="preserve"> C serijoje</w:t>
      </w:r>
      <w:r>
        <w:rPr>
          <w:rFonts w:ascii="Times New Roman" w:hAnsi="Times New Roman"/>
          <w:sz w:val="24"/>
        </w:rPr>
        <w:t>]</w:t>
      </w:r>
      <w:r>
        <w:rPr>
          <w:vertAlign w:val="superscript"/>
        </w:rPr>
        <w:footnoteReference w:id="13"/>
      </w:r>
      <w:r>
        <w:rPr>
          <w:rFonts w:ascii="Times New Roman" w:hAnsi="Times New Roman"/>
          <w:sz w:val="24"/>
        </w:rPr>
        <w:t>, taikomus tą dieną, kurią [</w:t>
      </w:r>
      <w:r>
        <w:rPr>
          <w:rFonts w:ascii="Times New Roman" w:hAnsi="Times New Roman"/>
          <w:sz w:val="24"/>
          <w:highlight w:val="lightGray"/>
        </w:rPr>
        <w:t>pateikiamas mokėjimo prašymas</w:t>
      </w:r>
      <w:r>
        <w:rPr>
          <w:rFonts w:ascii="Times New Roman" w:hAnsi="Times New Roman"/>
          <w:sz w:val="24"/>
        </w:rPr>
        <w:t>] / [</w:t>
      </w:r>
      <w:r>
        <w:rPr>
          <w:rFonts w:ascii="Times New Roman" w:hAnsi="Times New Roman"/>
          <w:sz w:val="24"/>
          <w:highlight w:val="lightGray"/>
        </w:rPr>
        <w:t>patiriamos išlaidos</w:t>
      </w:r>
      <w:r>
        <w:rPr>
          <w:rFonts w:ascii="Times New Roman" w:hAnsi="Times New Roman"/>
          <w:sz w:val="24"/>
        </w:rPr>
        <w:t>] / [</w:t>
      </w:r>
      <w:r>
        <w:rPr>
          <w:rFonts w:ascii="Times New Roman" w:hAnsi="Times New Roman"/>
          <w:sz w:val="24"/>
          <w:highlight w:val="lightGray"/>
        </w:rPr>
        <w:t>lėšos įskaitomos į gavėjo banko sąskaitą</w:t>
      </w:r>
      <w:r>
        <w:rPr>
          <w:rFonts w:ascii="Times New Roman" w:hAnsi="Times New Roman"/>
          <w:sz w:val="24"/>
        </w:rPr>
        <w:t>] / [</w:t>
      </w:r>
      <w:r>
        <w:rPr>
          <w:rFonts w:ascii="Times New Roman" w:hAnsi="Times New Roman"/>
          <w:sz w:val="24"/>
          <w:highlight w:val="lightGray"/>
        </w:rPr>
        <w:t>sutartį pasirašo paskutinė iš abiejų jos šalių</w:t>
      </w:r>
      <w:r>
        <w:rPr>
          <w:rFonts w:ascii="Times New Roman" w:hAnsi="Times New Roman"/>
          <w:sz w:val="24"/>
        </w:rPr>
        <w:t>]].</w:t>
      </w:r>
    </w:p>
    <w:p w14:paraId="7ABB00B1" w14:textId="77777777" w:rsidR="00DA12E7" w:rsidRPr="00E6068C" w:rsidRDefault="00DA12E7" w:rsidP="00DA12E7">
      <w:pPr>
        <w:spacing w:after="0" w:line="240" w:lineRule="auto"/>
        <w:jc w:val="both"/>
        <w:rPr>
          <w:rFonts w:ascii="Times New Roman" w:hAnsi="Times New Roman"/>
          <w:sz w:val="24"/>
        </w:rPr>
      </w:pPr>
    </w:p>
    <w:p w14:paraId="73168692" w14:textId="77777777" w:rsidR="00DA12E7" w:rsidRPr="00E6068C" w:rsidRDefault="00DA12E7" w:rsidP="00DA12E7">
      <w:pPr>
        <w:spacing w:after="0" w:line="240" w:lineRule="auto"/>
        <w:jc w:val="both"/>
        <w:rPr>
          <w:rFonts w:ascii="Times New Roman" w:hAnsi="Times New Roman"/>
          <w:sz w:val="24"/>
        </w:rPr>
      </w:pPr>
      <w:r>
        <w:rPr>
          <w:rFonts w:ascii="Times New Roman" w:hAnsi="Times New Roman"/>
          <w:sz w:val="24"/>
          <w:highlight w:val="lightGray"/>
        </w:rPr>
        <w:t>[Jeigu NA pasirenka minėtą variantą „[lėšos įskaitomos į gavėjo banko sąskaitą]“ ir numatoma atlikti daugiau kaip vieną išankstinio finansavimo mokėjimą</w:t>
      </w:r>
      <w:r>
        <w:rPr>
          <w:rFonts w:ascii="Times New Roman" w:hAnsi="Times New Roman"/>
          <w:sz w:val="24"/>
        </w:rPr>
        <w:t xml:space="preserve">: Jeigu I.4.3 straipsnyje numatytas antras išankstinio finansavimo mokėjimas arba daugiau mokėjimų, atitinkamas konvertavimo kursas turi būti taikomas visoms išlaidoms, patirtoms laikotarpiu </w:t>
      </w:r>
      <w:r>
        <w:rPr>
          <w:rFonts w:ascii="Times New Roman" w:hAnsi="Times New Roman"/>
          <w:sz w:val="24"/>
        </w:rPr>
        <w:lastRenderedPageBreak/>
        <w:t>nuo susijusios išankstinio finansavimo išmokos pervedimo dienos iki kito išankstinio finansavimo mokėjimo dienos.]</w:t>
      </w:r>
    </w:p>
    <w:p w14:paraId="50DD7E0D" w14:textId="77777777" w:rsidR="00DA12E7" w:rsidRPr="00DA12E7" w:rsidRDefault="00DA12E7" w:rsidP="00DA12E7"/>
    <w:p w14:paraId="7DD9206B" w14:textId="210405AD" w:rsidR="00303263" w:rsidRPr="002433D9" w:rsidRDefault="00303263" w:rsidP="00303263">
      <w:pPr>
        <w:pStyle w:val="Heading2"/>
        <w:rPr>
          <w:b w:val="0"/>
        </w:rPr>
      </w:pPr>
      <w:bookmarkStart w:id="819" w:name="_Toc107578121"/>
      <w:r>
        <w:rPr>
          <w:rStyle w:val="SubtitleChar"/>
          <w:rFonts w:ascii="Times New Roman" w:hAnsi="Times New Roman"/>
          <w:b/>
        </w:rPr>
        <w:t>I.4.10 Prašymų atlikti mokėjimus ir ataskaitų teikimo kalba</w:t>
      </w:r>
      <w:bookmarkEnd w:id="819"/>
      <w:r>
        <w:rPr>
          <w:b w:val="0"/>
          <w:i w:val="0"/>
        </w:rPr>
        <w:t xml:space="preserve"> </w:t>
      </w:r>
    </w:p>
    <w:p w14:paraId="43AE5BBD" w14:textId="22F2C685" w:rsidR="00303263" w:rsidRPr="00701F9F" w:rsidRDefault="00303263" w:rsidP="003F7876">
      <w:r>
        <w:rPr>
          <w:rFonts w:ascii="Times New Roman" w:hAnsi="Times New Roman"/>
          <w:sz w:val="24"/>
        </w:rPr>
        <w:t>Visi prašymai atlikti mokėjimus ir ataskaitos turi būti teikiami [NA nurodo kalbą].</w:t>
      </w:r>
      <w:r>
        <w:t xml:space="preserve"> </w:t>
      </w:r>
    </w:p>
    <w:p w14:paraId="60E4CC54" w14:textId="6F61A890" w:rsidR="00F10621" w:rsidRPr="003F7876" w:rsidRDefault="00F10621">
      <w:pPr>
        <w:pStyle w:val="Heading2"/>
        <w:rPr>
          <w:rFonts w:cs="Times New Roman"/>
          <w:b w:val="0"/>
          <w:i w:val="0"/>
        </w:rPr>
      </w:pPr>
      <w:bookmarkStart w:id="820" w:name="_Toc441250785"/>
      <w:bookmarkStart w:id="821" w:name="_Toc441509634"/>
      <w:bookmarkStart w:id="822" w:name="_Toc446535833"/>
      <w:bookmarkStart w:id="823" w:name="_Toc107578122"/>
      <w:r>
        <w:rPr>
          <w:rStyle w:val="SubtitleChar"/>
          <w:rFonts w:ascii="Times New Roman" w:hAnsi="Times New Roman"/>
          <w:b/>
        </w:rPr>
        <w:t>I.4.11</w:t>
      </w:r>
      <w:r>
        <w:tab/>
      </w:r>
      <w:r>
        <w:rPr>
          <w:rStyle w:val="paragraphpartIIChar"/>
          <w:rFonts w:eastAsia="Arial Unicode MS"/>
          <w:b/>
          <w:i w:val="0"/>
        </w:rPr>
        <w:t>Mokėjimo data</w:t>
      </w:r>
      <w:bookmarkEnd w:id="820"/>
      <w:bookmarkEnd w:id="821"/>
      <w:bookmarkEnd w:id="822"/>
      <w:bookmarkEnd w:id="823"/>
    </w:p>
    <w:p w14:paraId="60E4CC56" w14:textId="46BBC38F" w:rsidR="00F10621" w:rsidRPr="003F7876" w:rsidRDefault="00F10621" w:rsidP="003F7876">
      <w:pPr>
        <w:spacing w:after="120"/>
        <w:jc w:val="both"/>
        <w:rPr>
          <w:rFonts w:ascii="Times New Roman" w:hAnsi="Times New Roman"/>
          <w:sz w:val="24"/>
          <w:szCs w:val="24"/>
        </w:rPr>
      </w:pPr>
      <w:r>
        <w:rPr>
          <w:rFonts w:ascii="Times New Roman" w:hAnsi="Times New Roman"/>
          <w:sz w:val="24"/>
        </w:rPr>
        <w:t>NA mokėjimai laikomi atliktais tą dieną, kurią jie nuskaitomi nuo jos sąskaitos, nebent nacionalinės teisės aktais būtų nustatyta kitaip.</w:t>
      </w:r>
    </w:p>
    <w:p w14:paraId="60E4CC57" w14:textId="26EAAF9C" w:rsidR="00F10621" w:rsidRPr="00701F9F" w:rsidRDefault="00F10621" w:rsidP="00B3195E">
      <w:pPr>
        <w:pStyle w:val="Heading2"/>
        <w:rPr>
          <w:rFonts w:cs="Times New Roman"/>
        </w:rPr>
      </w:pPr>
      <w:bookmarkStart w:id="824" w:name="_Toc441250786"/>
      <w:bookmarkStart w:id="825" w:name="_Toc441509635"/>
      <w:bookmarkStart w:id="826" w:name="_Toc446535834"/>
      <w:bookmarkStart w:id="827" w:name="_Toc107578123"/>
      <w:r>
        <w:rPr>
          <w:rStyle w:val="SubtitleChar"/>
          <w:rFonts w:ascii="Times New Roman" w:hAnsi="Times New Roman"/>
          <w:b/>
        </w:rPr>
        <w:t>I.4.12</w:t>
      </w:r>
      <w:r>
        <w:tab/>
      </w:r>
      <w:r>
        <w:rPr>
          <w:rStyle w:val="paragraphpartIIChar"/>
          <w:rFonts w:eastAsia="Arial Unicode MS"/>
          <w:b/>
          <w:i w:val="0"/>
        </w:rPr>
        <w:t>Mokėjimų pervedimo išlaidos</w:t>
      </w:r>
      <w:bookmarkEnd w:id="824"/>
      <w:bookmarkEnd w:id="825"/>
      <w:bookmarkEnd w:id="826"/>
      <w:bookmarkEnd w:id="827"/>
    </w:p>
    <w:p w14:paraId="60E4CC59" w14:textId="316C89FD" w:rsidR="00F10621" w:rsidRPr="00480642" w:rsidRDefault="00F10621" w:rsidP="00F10621">
      <w:pPr>
        <w:jc w:val="both"/>
        <w:rPr>
          <w:rFonts w:ascii="Times New Roman" w:hAnsi="Times New Roman"/>
          <w:sz w:val="24"/>
          <w:szCs w:val="24"/>
        </w:rPr>
      </w:pPr>
      <w:r>
        <w:rPr>
          <w:rFonts w:ascii="Times New Roman" w:hAnsi="Times New Roman"/>
          <w:sz w:val="24"/>
        </w:rPr>
        <w:t>Mokėjimų pervedimo išlaidos dengiamos taip:</w:t>
      </w:r>
    </w:p>
    <w:p w14:paraId="60E4CC5A" w14:textId="77777777" w:rsidR="00F10621" w:rsidRPr="003F7876" w:rsidRDefault="00F10621" w:rsidP="003F7876">
      <w:pPr>
        <w:numPr>
          <w:ilvl w:val="0"/>
          <w:numId w:val="33"/>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NA dengia savo banko taikomų pervedimo mokesčių išlaidas;</w:t>
      </w:r>
    </w:p>
    <w:p w14:paraId="60E4CC5B" w14:textId="77777777" w:rsidR="00F10621" w:rsidRPr="003F7876" w:rsidRDefault="00F10621" w:rsidP="003F7876">
      <w:pPr>
        <w:numPr>
          <w:ilvl w:val="0"/>
          <w:numId w:val="33"/>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gavėjas dengia savo banko taikomų pervedimo mokesčių išlaidas;</w:t>
      </w:r>
    </w:p>
    <w:p w14:paraId="60E4CC62" w14:textId="029B3B10" w:rsidR="00F10621" w:rsidRPr="003F7876" w:rsidRDefault="00F10621" w:rsidP="003F7876">
      <w:pPr>
        <w:numPr>
          <w:ilvl w:val="0"/>
          <w:numId w:val="33"/>
        </w:numPr>
        <w:suppressAutoHyphens w:val="0"/>
        <w:spacing w:before="100" w:beforeAutospacing="1" w:after="100" w:afterAutospacing="1" w:line="240" w:lineRule="auto"/>
        <w:jc w:val="both"/>
        <w:rPr>
          <w:rFonts w:ascii="Times New Roman" w:hAnsi="Times New Roman"/>
          <w:i/>
          <w:iCs/>
          <w:sz w:val="24"/>
          <w:szCs w:val="24"/>
        </w:rPr>
      </w:pPr>
      <w:r>
        <w:rPr>
          <w:rFonts w:ascii="Times New Roman" w:hAnsi="Times New Roman"/>
          <w:sz w:val="24"/>
        </w:rPr>
        <w:t>šalis, dėl kurios atliekamas pakartotinis pervedimas, dengia visas pakartotinių pervedimų išlaidas.</w:t>
      </w:r>
    </w:p>
    <w:p w14:paraId="60E4CC63" w14:textId="77777777" w:rsidR="00F10621" w:rsidRPr="00480642" w:rsidRDefault="00F10621" w:rsidP="00F10621">
      <w:pPr>
        <w:spacing w:after="0" w:line="240" w:lineRule="auto"/>
        <w:jc w:val="both"/>
        <w:rPr>
          <w:rFonts w:ascii="Times New Roman" w:hAnsi="Times New Roman"/>
          <w:i/>
          <w:sz w:val="24"/>
          <w:szCs w:val="24"/>
        </w:rPr>
      </w:pPr>
    </w:p>
    <w:p w14:paraId="60E4CC64" w14:textId="625B1038" w:rsidR="00F10621" w:rsidRPr="00480642" w:rsidRDefault="00F10621" w:rsidP="00712B34">
      <w:pPr>
        <w:pStyle w:val="Heading1"/>
      </w:pPr>
      <w:r>
        <w:t xml:space="preserve"> </w:t>
      </w:r>
      <w:bookmarkStart w:id="828" w:name="_Toc107578124"/>
      <w:r w:rsidR="00712B34">
        <w:t xml:space="preserve">I.5 STRAIPSNIS. </w:t>
      </w:r>
      <w:r>
        <w:t>MOKĖJIMAMS SKIRTA BANKO SĄSKAITA</w:t>
      </w:r>
      <w:bookmarkEnd w:id="828"/>
      <w:r>
        <w:t xml:space="preserve"> </w:t>
      </w:r>
    </w:p>
    <w:p w14:paraId="60E4CC65" w14:textId="77777777" w:rsidR="00F10621" w:rsidRPr="00480642" w:rsidRDefault="00F10621" w:rsidP="00F10621">
      <w:pPr>
        <w:spacing w:after="0"/>
        <w:jc w:val="both"/>
        <w:rPr>
          <w:rFonts w:ascii="Times New Roman" w:hAnsi="Times New Roman"/>
          <w:sz w:val="24"/>
          <w:szCs w:val="24"/>
        </w:rPr>
      </w:pPr>
      <w:r>
        <w:rPr>
          <w:rFonts w:ascii="Times New Roman" w:hAnsi="Times New Roman"/>
          <w:sz w:val="24"/>
        </w:rPr>
        <w:t>Visi mokėjimai turi būti atliekami į toliau nurodytą gavėjo banko sąskaitą.</w:t>
      </w:r>
    </w:p>
    <w:p w14:paraId="60E4CC66" w14:textId="77777777" w:rsidR="00F10621" w:rsidRPr="00480642" w:rsidRDefault="00F10621" w:rsidP="00F10621">
      <w:pPr>
        <w:spacing w:after="0"/>
        <w:rPr>
          <w:rFonts w:ascii="Times New Roman" w:hAnsi="Times New Roman"/>
          <w:sz w:val="24"/>
          <w:szCs w:val="24"/>
        </w:rPr>
      </w:pPr>
      <w:r>
        <w:tab/>
      </w:r>
    </w:p>
    <w:p w14:paraId="60E4CC67" w14:textId="3E857A65" w:rsidR="00F10621" w:rsidRPr="0003677F" w:rsidRDefault="00F10621" w:rsidP="00F10621">
      <w:pPr>
        <w:spacing w:after="0"/>
        <w:rPr>
          <w:rFonts w:ascii="Times New Roman" w:hAnsi="Times New Roman"/>
        </w:rPr>
      </w:pPr>
      <w:r>
        <w:rPr>
          <w:rFonts w:ascii="Times New Roman" w:hAnsi="Times New Roman"/>
          <w:sz w:val="24"/>
        </w:rPr>
        <w:t xml:space="preserve">Banko pavadinimas: </w:t>
      </w:r>
      <w:r>
        <w:rPr>
          <w:rFonts w:ascii="Times New Roman" w:hAnsi="Times New Roman"/>
          <w:sz w:val="24"/>
          <w:highlight w:val="lightGray"/>
          <w:shd w:val="clear" w:color="auto" w:fill="FFFF00"/>
        </w:rPr>
        <w:t>[…]</w:t>
      </w:r>
      <w:r>
        <w:tab/>
        <w:t xml:space="preserve"> </w:t>
      </w:r>
      <w:r>
        <w:br/>
      </w:r>
      <w:r>
        <w:rPr>
          <w:rFonts w:ascii="Times New Roman" w:hAnsi="Times New Roman"/>
          <w:sz w:val="24"/>
        </w:rPr>
        <w:t xml:space="preserve">Tikslus sąskaitos turėtojo pavadinimas: </w:t>
      </w:r>
      <w:r>
        <w:rPr>
          <w:rFonts w:ascii="Times New Roman" w:hAnsi="Times New Roman"/>
          <w:sz w:val="24"/>
          <w:highlight w:val="lightGray"/>
          <w:shd w:val="clear" w:color="auto" w:fill="FFFF00"/>
        </w:rPr>
        <w:t>[…]</w:t>
      </w:r>
      <w:r>
        <w:tab/>
        <w:t xml:space="preserve"> </w:t>
      </w:r>
      <w:r>
        <w:br/>
      </w:r>
      <w:r>
        <w:rPr>
          <w:rFonts w:ascii="Times New Roman" w:hAnsi="Times New Roman"/>
          <w:sz w:val="24"/>
        </w:rPr>
        <w:t xml:space="preserve">Visas sąskaitos numeris (su banko kodais): </w:t>
      </w:r>
      <w:r>
        <w:rPr>
          <w:rFonts w:ascii="Times New Roman" w:hAnsi="Times New Roman"/>
          <w:sz w:val="24"/>
          <w:highlight w:val="lightGray"/>
          <w:shd w:val="clear" w:color="auto" w:fill="FFFF00"/>
        </w:rPr>
        <w:t>[…]</w:t>
      </w:r>
      <w:r>
        <w:tab/>
        <w:t xml:space="preserve"> </w:t>
      </w:r>
      <w:r>
        <w:br/>
      </w:r>
      <w:r>
        <w:rPr>
          <w:rFonts w:ascii="Times New Roman" w:hAnsi="Times New Roman"/>
          <w:sz w:val="24"/>
        </w:rPr>
        <w:t xml:space="preserve">[IBAN kodas: </w:t>
      </w:r>
      <w:r>
        <w:rPr>
          <w:rFonts w:ascii="Times New Roman" w:hAnsi="Times New Roman"/>
          <w:sz w:val="24"/>
          <w:highlight w:val="lightGray"/>
          <w:shd w:val="clear" w:color="auto" w:fill="FFFF00"/>
        </w:rPr>
        <w:t>[…]]</w:t>
      </w:r>
      <w:r>
        <w:rPr>
          <w:rStyle w:val="FootnoteReference"/>
          <w:rFonts w:ascii="Times New Roman" w:hAnsi="Times New Roman"/>
          <w:sz w:val="24"/>
          <w:szCs w:val="24"/>
          <w:highlight w:val="lightGray"/>
          <w:shd w:val="clear" w:color="auto" w:fill="FFFF00"/>
        </w:rPr>
        <w:footnoteReference w:id="14"/>
      </w:r>
    </w:p>
    <w:p w14:paraId="60E4CC68" w14:textId="77777777" w:rsidR="00F10621" w:rsidRPr="0003677F" w:rsidRDefault="00F10621" w:rsidP="00F10621">
      <w:pPr>
        <w:spacing w:after="0"/>
        <w:rPr>
          <w:rFonts w:ascii="Times New Roman" w:hAnsi="Times New Roman"/>
        </w:rPr>
      </w:pPr>
    </w:p>
    <w:p w14:paraId="60E4CC69" w14:textId="77777777" w:rsidR="00F10621" w:rsidRPr="0003677F" w:rsidRDefault="00F10621" w:rsidP="00F10621">
      <w:pPr>
        <w:spacing w:after="0"/>
        <w:rPr>
          <w:rFonts w:ascii="Times New Roman" w:hAnsi="Times New Roman"/>
        </w:rPr>
      </w:pPr>
    </w:p>
    <w:p w14:paraId="4BD1F2A8" w14:textId="0D7629DF" w:rsidR="008222A9" w:rsidRDefault="00F10621" w:rsidP="00712B34">
      <w:pPr>
        <w:pStyle w:val="Heading1"/>
      </w:pPr>
      <w:r>
        <w:t xml:space="preserve"> </w:t>
      </w:r>
      <w:bookmarkStart w:id="829" w:name="_Toc107578125"/>
      <w:r w:rsidR="00712B34">
        <w:t xml:space="preserve">I.6 STRAIPSNIS. </w:t>
      </w:r>
      <w:r>
        <w:t>DUOMENŲ VALDYTOJAS IR ŠALIŲ KONTAKTINIAI DUOMENYS</w:t>
      </w:r>
      <w:bookmarkEnd w:id="829"/>
      <w:r>
        <w:t xml:space="preserve"> </w:t>
      </w:r>
    </w:p>
    <w:p w14:paraId="140ABE82" w14:textId="607E8287" w:rsidR="00495444" w:rsidRPr="003F7876" w:rsidRDefault="00495444" w:rsidP="003F7876">
      <w:pPr>
        <w:pStyle w:val="Heading3"/>
        <w:keepNext w:val="0"/>
        <w:keepLines w:val="0"/>
        <w:suppressAutoHyphens w:val="0"/>
        <w:spacing w:before="100" w:beforeAutospacing="1" w:after="100" w:afterAutospacing="1" w:line="240" w:lineRule="auto"/>
        <w:jc w:val="both"/>
        <w:rPr>
          <w:rFonts w:ascii="Times New Roman" w:eastAsia="Times New Roman" w:hAnsi="Times New Roman" w:cs="Times New Roman"/>
          <w:color w:val="auto"/>
          <w:sz w:val="24"/>
          <w:szCs w:val="24"/>
        </w:rPr>
      </w:pPr>
      <w:bookmarkStart w:id="830" w:name="_Toc441250790"/>
      <w:bookmarkStart w:id="831" w:name="_Toc441509639"/>
      <w:bookmarkStart w:id="832" w:name="_Toc1637140"/>
      <w:bookmarkStart w:id="833" w:name="_Toc72499012"/>
      <w:bookmarkStart w:id="834" w:name="_Toc107578126"/>
      <w:r>
        <w:rPr>
          <w:rFonts w:ascii="Times New Roman" w:hAnsi="Times New Roman"/>
          <w:color w:val="auto"/>
          <w:sz w:val="24"/>
        </w:rPr>
        <w:t>I.6.1</w:t>
      </w:r>
      <w:r>
        <w:tab/>
      </w:r>
      <w:r>
        <w:rPr>
          <w:rFonts w:ascii="Times New Roman" w:hAnsi="Times New Roman"/>
          <w:color w:val="auto"/>
          <w:sz w:val="24"/>
        </w:rPr>
        <w:t>Duomenų valdytojas</w:t>
      </w:r>
      <w:bookmarkEnd w:id="830"/>
      <w:bookmarkEnd w:id="831"/>
      <w:bookmarkEnd w:id="832"/>
      <w:bookmarkEnd w:id="833"/>
      <w:bookmarkEnd w:id="834"/>
    </w:p>
    <w:p w14:paraId="7CD67775" w14:textId="6BA19AE7" w:rsidR="008222A9" w:rsidRDefault="00495444" w:rsidP="00B9087F">
      <w:pPr>
        <w:pStyle w:val="NormalIndent"/>
        <w:keepNext/>
        <w:widowControl w:val="0"/>
        <w:spacing w:after="0"/>
        <w:ind w:left="426" w:hanging="426"/>
      </w:pPr>
      <w:r>
        <w:lastRenderedPageBreak/>
        <w:t xml:space="preserve">Duomenų valdytojo funkcijas pagal II.7 straipsnį atliekantis subjektas: </w:t>
      </w:r>
    </w:p>
    <w:p w14:paraId="574500EE" w14:textId="77777777" w:rsidR="008222A9" w:rsidRDefault="008222A9" w:rsidP="008222A9">
      <w:pPr>
        <w:pStyle w:val="NormalIndent"/>
        <w:keepNext/>
        <w:widowControl w:val="0"/>
        <w:spacing w:after="0"/>
        <w:ind w:left="426"/>
      </w:pPr>
    </w:p>
    <w:p w14:paraId="76762833" w14:textId="4CD9D9B5" w:rsidR="008222A9" w:rsidRDefault="008222A9" w:rsidP="008222A9">
      <w:pPr>
        <w:pStyle w:val="NormalIndent"/>
        <w:keepNext/>
        <w:widowControl w:val="0"/>
        <w:spacing w:after="0"/>
        <w:ind w:left="426"/>
      </w:pPr>
      <w:r>
        <w:t>B4 skyriaus vadovas</w:t>
      </w:r>
    </w:p>
    <w:p w14:paraId="1FBB89FB" w14:textId="35AC51CA" w:rsidR="00B9087F" w:rsidRDefault="008222A9" w:rsidP="2D7A0B95">
      <w:pPr>
        <w:pStyle w:val="NormalIndent"/>
        <w:keepNext/>
        <w:widowControl w:val="0"/>
        <w:spacing w:after="0"/>
        <w:ind w:left="426"/>
        <w:rPr>
          <w:szCs w:val="24"/>
        </w:rPr>
      </w:pPr>
      <w:r>
        <w:t>B direktoratas „Jaunimas, švietimas ir „Erasmus+“</w:t>
      </w:r>
    </w:p>
    <w:p w14:paraId="178A5C7A" w14:textId="136BBBE9" w:rsidR="008222A9" w:rsidRPr="009D4341" w:rsidRDefault="008222A9" w:rsidP="008222A9">
      <w:pPr>
        <w:pStyle w:val="NormalIndent"/>
        <w:keepNext/>
        <w:widowControl w:val="0"/>
        <w:spacing w:after="0"/>
        <w:ind w:left="426"/>
      </w:pPr>
      <w:r>
        <w:t>Švietimo, jaunimo, sporto ir kultūros generalinis direktoratas</w:t>
      </w:r>
    </w:p>
    <w:p w14:paraId="21220FFD" w14:textId="77777777" w:rsidR="008222A9" w:rsidRPr="009D4341" w:rsidRDefault="008222A9" w:rsidP="008222A9">
      <w:pPr>
        <w:pStyle w:val="NormalIndent"/>
        <w:keepNext/>
        <w:widowControl w:val="0"/>
        <w:spacing w:after="0"/>
        <w:ind w:left="426"/>
      </w:pPr>
      <w:r>
        <w:t>Europos Komisija</w:t>
      </w:r>
    </w:p>
    <w:p w14:paraId="56F74F5B" w14:textId="77777777" w:rsidR="008222A9" w:rsidRPr="009D4341" w:rsidRDefault="008222A9" w:rsidP="008222A9">
      <w:pPr>
        <w:pStyle w:val="NormalIndent"/>
        <w:keepNext/>
        <w:widowControl w:val="0"/>
        <w:spacing w:after="0"/>
        <w:ind w:left="426"/>
      </w:pPr>
      <w:r>
        <w:t>B-1049 Brussels</w:t>
      </w:r>
    </w:p>
    <w:p w14:paraId="68AC2B7A" w14:textId="77777777" w:rsidR="008222A9" w:rsidRDefault="008222A9" w:rsidP="008222A9">
      <w:pPr>
        <w:pStyle w:val="NormalIndent"/>
        <w:keepNext/>
        <w:widowControl w:val="0"/>
        <w:spacing w:after="0"/>
        <w:ind w:left="426"/>
      </w:pPr>
      <w:r>
        <w:t>Belgium (Belgija)</w:t>
      </w:r>
    </w:p>
    <w:p w14:paraId="32AD07E7" w14:textId="77777777" w:rsidR="003E17D4" w:rsidRPr="00712B34" w:rsidRDefault="003E17D4" w:rsidP="003E17D4">
      <w:pPr>
        <w:pStyle w:val="ListParagraph"/>
        <w:spacing w:after="0"/>
        <w:rPr>
          <w:szCs w:val="24"/>
        </w:rPr>
      </w:pPr>
    </w:p>
    <w:p w14:paraId="48DB155B" w14:textId="78B62B42" w:rsidR="003E17D4" w:rsidRPr="009E61DA" w:rsidRDefault="0088218A" w:rsidP="002A2BD7">
      <w:pPr>
        <w:spacing w:after="0" w:line="240" w:lineRule="auto"/>
        <w:jc w:val="both"/>
        <w:rPr>
          <w:szCs w:val="24"/>
        </w:rPr>
      </w:pPr>
      <w:r>
        <w:rPr>
          <w:rFonts w:ascii="Times New Roman" w:hAnsi="Times New Roman"/>
          <w:sz w:val="24"/>
        </w:rPr>
        <w:t>[</w:t>
      </w:r>
      <w:r>
        <w:rPr>
          <w:rFonts w:ascii="Times New Roman" w:hAnsi="Times New Roman"/>
          <w:sz w:val="24"/>
          <w:highlight w:val="lightGray"/>
        </w:rPr>
        <w:t>Taikoma tik dotacijų sutartims su gavėjais iš ES ir EEE nepriklausančių šalių</w:t>
      </w:r>
      <w:r>
        <w:rPr>
          <w:rFonts w:ascii="Times New Roman" w:hAnsi="Times New Roman"/>
          <w:sz w:val="24"/>
        </w:rPr>
        <w:t>: Už ES ir EEE ribų gavėjų tvarkomų asmens duomenų vieta ir prieiga prie jų turi atitikti Reglamento 2018/1725 nuostatas].</w:t>
      </w:r>
      <w:r>
        <w:t xml:space="preserve"> </w:t>
      </w:r>
    </w:p>
    <w:p w14:paraId="60E4CC6E" w14:textId="218DDADB" w:rsidR="00F10621" w:rsidRPr="003F7876" w:rsidRDefault="00BA4438" w:rsidP="003F7876">
      <w:pPr>
        <w:pStyle w:val="Heading3"/>
        <w:keepNext w:val="0"/>
        <w:keepLines w:val="0"/>
        <w:suppressAutoHyphens w:val="0"/>
        <w:spacing w:before="100" w:beforeAutospacing="1" w:after="100" w:afterAutospacing="1" w:line="240" w:lineRule="auto"/>
        <w:jc w:val="both"/>
        <w:rPr>
          <w:rFonts w:eastAsia="Times New Roman" w:cs="Times New Roman"/>
        </w:rPr>
      </w:pPr>
      <w:bookmarkStart w:id="835" w:name="_Toc72499013"/>
      <w:bookmarkStart w:id="836" w:name="_Toc107578127"/>
      <w:r>
        <w:rPr>
          <w:rFonts w:ascii="Times New Roman" w:hAnsi="Times New Roman"/>
          <w:color w:val="auto"/>
          <w:sz w:val="24"/>
        </w:rPr>
        <w:t>I.6.2</w:t>
      </w:r>
      <w:r>
        <w:tab/>
      </w:r>
      <w:r>
        <w:rPr>
          <w:rFonts w:ascii="Times New Roman" w:hAnsi="Times New Roman"/>
          <w:color w:val="auto"/>
          <w:sz w:val="24"/>
        </w:rPr>
        <w:t>NA kontaktiniai duomenys</w:t>
      </w:r>
      <w:r>
        <w:rPr>
          <w:rStyle w:val="FootnoteReference"/>
          <w:rFonts w:eastAsia="Times New Roman" w:cs="Times New Roman"/>
          <w:lang w:eastAsia="en-GB"/>
        </w:rPr>
        <w:footnoteReference w:customMarkFollows="1" w:id="15"/>
        <w:t>13</w:t>
      </w:r>
      <w:bookmarkEnd w:id="835"/>
      <w:bookmarkEnd w:id="836"/>
    </w:p>
    <w:p w14:paraId="60E4CC70" w14:textId="627AA08F" w:rsidR="00F10621" w:rsidRPr="003F7876" w:rsidRDefault="00F10621" w:rsidP="003F7876">
      <w:pPr>
        <w:spacing w:after="0" w:line="240" w:lineRule="auto"/>
        <w:jc w:val="both"/>
        <w:rPr>
          <w:rFonts w:ascii="Times New Roman" w:eastAsia="Times New Roman" w:hAnsi="Times New Roman"/>
          <w:i/>
          <w:iCs/>
          <w:sz w:val="24"/>
          <w:szCs w:val="24"/>
        </w:rPr>
      </w:pPr>
      <w:r>
        <w:rPr>
          <w:rFonts w:ascii="Times New Roman" w:hAnsi="Times New Roman"/>
          <w:sz w:val="24"/>
        </w:rPr>
        <w:t>Visi NA skirti pranešimai turi būti siunčiami šiuo adresu:</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60E4CC72" w14:textId="77777777" w:rsidR="00F10621" w:rsidRPr="003F7876" w:rsidRDefault="00F10621" w:rsidP="003F7876">
      <w:pPr>
        <w:spacing w:after="0" w:line="240" w:lineRule="auto"/>
        <w:ind w:firstLine="720"/>
        <w:rPr>
          <w:rFonts w:ascii="Times New Roman" w:hAnsi="Times New Roman"/>
          <w:sz w:val="24"/>
          <w:szCs w:val="24"/>
        </w:rPr>
      </w:pPr>
      <w:r>
        <w:rPr>
          <w:rFonts w:ascii="Times New Roman" w:hAnsi="Times New Roman"/>
          <w:sz w:val="24"/>
          <w:highlight w:val="lightGray"/>
          <w:shd w:val="clear" w:color="auto" w:fill="FFFF00"/>
        </w:rPr>
        <w:t>[NA pavadinimas]</w:t>
      </w:r>
    </w:p>
    <w:p w14:paraId="60E4CC73" w14:textId="77777777" w:rsidR="00F10621" w:rsidRPr="003F7876" w:rsidRDefault="00F10621" w:rsidP="003F7876">
      <w:pPr>
        <w:spacing w:after="0" w:line="240" w:lineRule="auto"/>
        <w:ind w:left="425" w:firstLine="295"/>
        <w:rPr>
          <w:rFonts w:ascii="Times New Roman" w:hAnsi="Times New Roman"/>
          <w:sz w:val="24"/>
          <w:szCs w:val="24"/>
        </w:rPr>
      </w:pPr>
      <w:r>
        <w:rPr>
          <w:rFonts w:ascii="Times New Roman" w:hAnsi="Times New Roman"/>
          <w:sz w:val="24"/>
          <w:highlight w:val="lightGray"/>
          <w:shd w:val="clear" w:color="auto" w:fill="FFFF00"/>
        </w:rPr>
        <w:t>[Pašto kodas, miestas ir šalis].</w:t>
      </w:r>
    </w:p>
    <w:p w14:paraId="60E4CC74" w14:textId="26ECC4B8" w:rsidR="00F10621" w:rsidRPr="002935DA" w:rsidRDefault="00F10621" w:rsidP="00F10621">
      <w:pPr>
        <w:spacing w:after="0" w:line="240" w:lineRule="auto"/>
        <w:ind w:firstLine="720"/>
        <w:rPr>
          <w:rFonts w:ascii="Times New Roman" w:eastAsia="Times New Roman" w:hAnsi="Times New Roman"/>
          <w:color w:val="000000"/>
          <w:sz w:val="24"/>
          <w:szCs w:val="24"/>
        </w:rPr>
      </w:pPr>
      <w:r>
        <w:rPr>
          <w:rFonts w:ascii="Times New Roman" w:hAnsi="Times New Roman"/>
          <w:color w:val="000000"/>
          <w:sz w:val="24"/>
        </w:rPr>
        <w:t>E. pašto adresas [</w:t>
      </w:r>
      <w:r>
        <w:rPr>
          <w:rFonts w:ascii="Times New Roman" w:hAnsi="Times New Roman"/>
          <w:color w:val="000000"/>
          <w:sz w:val="24"/>
          <w:highlight w:val="lightGray"/>
          <w:shd w:val="clear" w:color="auto" w:fill="00FFFF"/>
        </w:rPr>
        <w:t>įrašyti funkcinės NA pašto dėžutės adresą]</w:t>
      </w:r>
    </w:p>
    <w:p w14:paraId="60E4CC75" w14:textId="77777777" w:rsidR="00F10621" w:rsidRPr="002935DA" w:rsidRDefault="00F10621" w:rsidP="00F10621">
      <w:pPr>
        <w:spacing w:after="0" w:line="240" w:lineRule="auto"/>
        <w:ind w:firstLine="720"/>
        <w:rPr>
          <w:rFonts w:ascii="Times New Roman" w:eastAsia="Times New Roman" w:hAnsi="Times New Roman"/>
          <w:color w:val="000000"/>
          <w:sz w:val="24"/>
          <w:szCs w:val="24"/>
        </w:rPr>
      </w:pPr>
    </w:p>
    <w:p w14:paraId="124ABF72" w14:textId="76022A33" w:rsidR="00D76BA6" w:rsidRDefault="00F10621" w:rsidP="002A2BD7">
      <w:pPr>
        <w:spacing w:after="0" w:line="240" w:lineRule="auto"/>
        <w:jc w:val="both"/>
        <w:rPr>
          <w:rFonts w:ascii="Times New Roman" w:eastAsia="Times New Roman" w:hAnsi="Times New Roman"/>
          <w:i/>
          <w:sz w:val="24"/>
          <w:szCs w:val="24"/>
        </w:rPr>
      </w:pPr>
      <w:r>
        <w:rPr>
          <w:rFonts w:ascii="Times New Roman" w:hAnsi="Times New Roman"/>
          <w:sz w:val="24"/>
        </w:rPr>
        <w:t>[</w:t>
      </w:r>
      <w:r>
        <w:rPr>
          <w:rFonts w:ascii="Times New Roman" w:hAnsi="Times New Roman"/>
          <w:sz w:val="24"/>
          <w:highlight w:val="lightGray"/>
        </w:rPr>
        <w:t>Jei taikoma:</w:t>
      </w:r>
      <w:r>
        <w:rPr>
          <w:rFonts w:ascii="Times New Roman" w:hAnsi="Times New Roman"/>
          <w:sz w:val="24"/>
        </w:rPr>
        <w:t xml:space="preserve"> bet kokie pranešimai, teikiami NA [</w:t>
      </w:r>
      <w:r>
        <w:rPr>
          <w:rFonts w:ascii="Times New Roman" w:hAnsi="Times New Roman"/>
          <w:sz w:val="24"/>
          <w:highlight w:val="lightGray"/>
        </w:rPr>
        <w:t>NA nurodo tikslus, kuriais turi būti taikoma ši sistema</w:t>
      </w:r>
      <w:r>
        <w:rPr>
          <w:rFonts w:ascii="Times New Roman" w:hAnsi="Times New Roman"/>
          <w:sz w:val="24"/>
        </w:rPr>
        <w:t>] tikslais, turi būti teikiami naudojantis [toliau nurodyta] NA sukurta elektroninio keitimosi informacija sistema: [</w:t>
      </w:r>
      <w:r>
        <w:rPr>
          <w:rFonts w:ascii="Times New Roman" w:hAnsi="Times New Roman"/>
          <w:sz w:val="24"/>
          <w:highlight w:val="lightGray"/>
        </w:rPr>
        <w:t>…</w:t>
      </w:r>
      <w:r>
        <w:rPr>
          <w:rFonts w:ascii="Times New Roman" w:hAnsi="Times New Roman"/>
          <w:sz w:val="24"/>
        </w:rPr>
        <w:t>]. Šiuo atveju II.3.1 straipsnio antra pastraipa ir II.3.2 straipsnio antra pastraipa neturi būti taikomos.]</w:t>
      </w:r>
    </w:p>
    <w:p w14:paraId="60E4CC78" w14:textId="08557A95" w:rsidR="00F10621" w:rsidRPr="003F7876" w:rsidRDefault="00BA4438" w:rsidP="003F7876">
      <w:pPr>
        <w:pStyle w:val="Heading3"/>
        <w:keepNext w:val="0"/>
        <w:keepLines w:val="0"/>
        <w:suppressAutoHyphens w:val="0"/>
        <w:spacing w:before="100" w:beforeAutospacing="1" w:after="100" w:afterAutospacing="1" w:line="240" w:lineRule="auto"/>
        <w:jc w:val="both"/>
        <w:rPr>
          <w:rFonts w:eastAsia="Times New Roman" w:cs="Times New Roman"/>
        </w:rPr>
      </w:pPr>
      <w:bookmarkStart w:id="837" w:name="_Toc72499014"/>
      <w:bookmarkStart w:id="838" w:name="_Toc107578128"/>
      <w:r>
        <w:rPr>
          <w:rFonts w:ascii="Times New Roman" w:hAnsi="Times New Roman"/>
          <w:color w:val="auto"/>
          <w:sz w:val="24"/>
        </w:rPr>
        <w:t>I.6.3</w:t>
      </w:r>
      <w:r>
        <w:tab/>
      </w:r>
      <w:r>
        <w:rPr>
          <w:rFonts w:ascii="Times New Roman" w:hAnsi="Times New Roman"/>
          <w:color w:val="auto"/>
          <w:sz w:val="24"/>
        </w:rPr>
        <w:t>Gavėjo kontaktiniai duomenys</w:t>
      </w:r>
      <w:r>
        <w:rPr>
          <w:rStyle w:val="FootnoteReference"/>
          <w:rFonts w:ascii="Times New Roman" w:eastAsia="Calibri" w:hAnsi="Times New Roman" w:cs="Times New Roman"/>
          <w:b w:val="0"/>
          <w:bCs w:val="0"/>
          <w:color w:val="auto"/>
          <w:sz w:val="24"/>
        </w:rPr>
        <w:footnoteReference w:id="16"/>
      </w:r>
      <w:bookmarkEnd w:id="837"/>
      <w:bookmarkEnd w:id="838"/>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Pr>
          <w:rFonts w:ascii="Times New Roman" w:hAnsi="Times New Roman"/>
          <w:sz w:val="24"/>
        </w:rPr>
        <w:t>Visi NA pranešimai gavėjui turi būti siunčiami šiuo adresu:</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77777777" w:rsidR="00F10621" w:rsidRPr="003F7876" w:rsidRDefault="00F10621" w:rsidP="003F7876">
      <w:pPr>
        <w:spacing w:after="0" w:line="240" w:lineRule="auto"/>
        <w:ind w:firstLine="720"/>
        <w:rPr>
          <w:rFonts w:ascii="Times New Roman" w:hAnsi="Times New Roman"/>
          <w:sz w:val="24"/>
          <w:szCs w:val="24"/>
        </w:rPr>
      </w:pPr>
      <w:r>
        <w:rPr>
          <w:rFonts w:ascii="Times New Roman" w:hAnsi="Times New Roman"/>
          <w:sz w:val="24"/>
        </w:rPr>
        <w:t>[</w:t>
      </w:r>
      <w:r>
        <w:rPr>
          <w:rFonts w:ascii="Times New Roman" w:hAnsi="Times New Roman"/>
          <w:sz w:val="24"/>
          <w:highlight w:val="lightGray"/>
          <w:shd w:val="clear" w:color="auto" w:fill="FFFF00"/>
        </w:rPr>
        <w:t>Vardas, pavardė]</w:t>
      </w:r>
    </w:p>
    <w:p w14:paraId="60E4CC7D" w14:textId="77777777" w:rsidR="00F10621" w:rsidRPr="003F7876" w:rsidRDefault="00F10621" w:rsidP="003F7876">
      <w:pPr>
        <w:spacing w:after="0" w:line="240" w:lineRule="auto"/>
        <w:ind w:firstLine="720"/>
        <w:rPr>
          <w:rFonts w:ascii="Times New Roman" w:hAnsi="Times New Roman"/>
          <w:sz w:val="24"/>
          <w:szCs w:val="24"/>
        </w:rPr>
      </w:pPr>
      <w:r>
        <w:rPr>
          <w:rFonts w:ascii="Times New Roman" w:hAnsi="Times New Roman"/>
          <w:sz w:val="24"/>
          <w:highlight w:val="lightGray"/>
          <w:shd w:val="clear" w:color="auto" w:fill="FFFF00"/>
        </w:rPr>
        <w:t>[Pareigos]</w:t>
      </w:r>
    </w:p>
    <w:p w14:paraId="60E4CC7E" w14:textId="77777777" w:rsidR="00F10621" w:rsidRPr="003F7876" w:rsidRDefault="00F10621" w:rsidP="003F7876">
      <w:pPr>
        <w:spacing w:after="0" w:line="240" w:lineRule="auto"/>
        <w:ind w:firstLine="720"/>
        <w:rPr>
          <w:rFonts w:ascii="Times New Roman" w:hAnsi="Times New Roman"/>
          <w:sz w:val="24"/>
          <w:szCs w:val="24"/>
        </w:rPr>
      </w:pPr>
      <w:r>
        <w:rPr>
          <w:rFonts w:ascii="Times New Roman" w:hAnsi="Times New Roman"/>
          <w:sz w:val="24"/>
          <w:highlight w:val="lightGray"/>
          <w:shd w:val="clear" w:color="auto" w:fill="FFFF00"/>
        </w:rPr>
        <w:t>[Subjekto pavadinimas]</w:t>
      </w:r>
    </w:p>
    <w:p w14:paraId="60E4CC7F" w14:textId="77777777" w:rsidR="00F10621" w:rsidRPr="003F7876" w:rsidRDefault="00F10621" w:rsidP="003F7876">
      <w:pPr>
        <w:spacing w:after="0" w:line="240" w:lineRule="auto"/>
        <w:ind w:firstLine="720"/>
        <w:rPr>
          <w:rFonts w:ascii="Times New Roman" w:hAnsi="Times New Roman"/>
          <w:sz w:val="24"/>
          <w:szCs w:val="24"/>
        </w:rPr>
      </w:pPr>
      <w:r>
        <w:rPr>
          <w:rFonts w:ascii="Times New Roman" w:hAnsi="Times New Roman"/>
          <w:sz w:val="24"/>
          <w:highlight w:val="lightGray"/>
          <w:shd w:val="clear" w:color="auto" w:fill="FFFF00"/>
        </w:rPr>
        <w:t>[Visas oficialus adresas</w:t>
      </w:r>
      <w:r>
        <w:rPr>
          <w:rFonts w:ascii="Times New Roman" w:hAnsi="Times New Roman"/>
          <w:sz w:val="24"/>
        </w:rPr>
        <w:t>]</w:t>
      </w:r>
    </w:p>
    <w:p w14:paraId="60E4CC80" w14:textId="77777777" w:rsidR="00F10621" w:rsidRPr="003F7876" w:rsidRDefault="00F10621" w:rsidP="003F7876">
      <w:pPr>
        <w:spacing w:after="0" w:line="240" w:lineRule="auto"/>
        <w:ind w:firstLine="720"/>
        <w:rPr>
          <w:rFonts w:ascii="Times New Roman" w:hAnsi="Times New Roman"/>
          <w:sz w:val="24"/>
          <w:szCs w:val="24"/>
        </w:rPr>
      </w:pPr>
      <w:r>
        <w:rPr>
          <w:rFonts w:ascii="Times New Roman" w:hAnsi="Times New Roman"/>
          <w:sz w:val="24"/>
        </w:rPr>
        <w:t>E. pašto adresas [</w:t>
      </w:r>
      <w:r>
        <w:rPr>
          <w:rFonts w:ascii="Times New Roman" w:hAnsi="Times New Roman"/>
          <w:sz w:val="24"/>
          <w:highlight w:val="lightGray"/>
          <w:shd w:val="clear" w:color="auto" w:fill="00FFFF"/>
        </w:rPr>
        <w:t>įrašyti</w:t>
      </w:r>
      <w:r>
        <w:rPr>
          <w:rFonts w:ascii="Times New Roman" w:hAnsi="Times New Roman"/>
          <w:sz w:val="24"/>
        </w:rPr>
        <w:t>]</w:t>
      </w:r>
    </w:p>
    <w:p w14:paraId="60E4CC81" w14:textId="77777777" w:rsidR="00F10621" w:rsidRPr="00E6068C" w:rsidRDefault="00F10621" w:rsidP="00F10621">
      <w:pPr>
        <w:spacing w:after="0" w:line="240" w:lineRule="auto"/>
        <w:rPr>
          <w:rFonts w:ascii="Times New Roman" w:hAnsi="Times New Roman"/>
          <w:sz w:val="24"/>
        </w:rPr>
      </w:pPr>
    </w:p>
    <w:p w14:paraId="60E4CC82" w14:textId="2582799B" w:rsidR="00F10621" w:rsidRPr="003F7876" w:rsidRDefault="00F10621" w:rsidP="003F7876">
      <w:pPr>
        <w:spacing w:after="0" w:line="240" w:lineRule="auto"/>
        <w:jc w:val="both"/>
        <w:rPr>
          <w:rFonts w:ascii="Times New Roman" w:hAnsi="Times New Roman"/>
          <w:sz w:val="24"/>
          <w:szCs w:val="24"/>
        </w:rPr>
      </w:pPr>
      <w:r>
        <w:rPr>
          <w:rFonts w:ascii="Times New Roman" w:hAnsi="Times New Roman"/>
          <w:i/>
          <w:sz w:val="24"/>
        </w:rPr>
        <w:t>[</w:t>
      </w:r>
      <w:r>
        <w:rPr>
          <w:rFonts w:ascii="Times New Roman" w:hAnsi="Times New Roman"/>
          <w:i/>
          <w:sz w:val="24"/>
          <w:highlight w:val="lightGray"/>
        </w:rPr>
        <w:t>Jei taikoma:</w:t>
      </w:r>
      <w:r>
        <w:rPr>
          <w:rFonts w:ascii="Times New Roman" w:hAnsi="Times New Roman"/>
          <w:sz w:val="24"/>
        </w:rPr>
        <w:t xml:space="preserve"> bet kokie NA pranešimai, teikiami gavėjui [</w:t>
      </w:r>
      <w:r>
        <w:rPr>
          <w:rFonts w:ascii="Times New Roman" w:hAnsi="Times New Roman"/>
          <w:sz w:val="24"/>
          <w:highlight w:val="lightGray"/>
        </w:rPr>
        <w:t>NA nurodo tikslus, kuriais turi būti taikoma ši sistema</w:t>
      </w:r>
      <w:r>
        <w:rPr>
          <w:rFonts w:ascii="Times New Roman" w:hAnsi="Times New Roman"/>
          <w:sz w:val="24"/>
        </w:rPr>
        <w:t xml:space="preserve">] tikslais, turi būti teikiami naudojantis [toliau nurodyta] NA sukurta </w:t>
      </w:r>
      <w:r>
        <w:rPr>
          <w:rFonts w:ascii="Times New Roman" w:hAnsi="Times New Roman"/>
          <w:sz w:val="24"/>
        </w:rPr>
        <w:lastRenderedPageBreak/>
        <w:t>elektroninio keitimosi informacija sistema: [</w:t>
      </w:r>
      <w:r>
        <w:rPr>
          <w:rFonts w:ascii="Times New Roman" w:hAnsi="Times New Roman"/>
          <w:sz w:val="24"/>
          <w:highlight w:val="lightGray"/>
        </w:rPr>
        <w:t>…</w:t>
      </w:r>
      <w:r>
        <w:rPr>
          <w:rFonts w:ascii="Times New Roman" w:hAnsi="Times New Roman"/>
          <w:sz w:val="24"/>
        </w:rPr>
        <w:t>]. Šiuo atveju II.3.1 straipsnio antra pastraipa ir II.3.2 straipsnio antra pastraipa neturi būti taikomos.]</w:t>
      </w:r>
    </w:p>
    <w:p w14:paraId="60A73463" w14:textId="0C71F2ED" w:rsidR="001E7C1C" w:rsidRPr="002A2BD7" w:rsidRDefault="001E7C1C" w:rsidP="002A2BD7">
      <w:pPr>
        <w:spacing w:after="0" w:line="240" w:lineRule="auto"/>
        <w:jc w:val="both"/>
        <w:rPr>
          <w:rFonts w:ascii="Times New Roman" w:eastAsia="Times New Roman" w:hAnsi="Times New Roman"/>
          <w:i/>
          <w:sz w:val="24"/>
          <w:szCs w:val="24"/>
        </w:rPr>
      </w:pPr>
    </w:p>
    <w:p w14:paraId="40479DDE" w14:textId="1780EAE4" w:rsidR="00A62DDE" w:rsidRPr="001558E6" w:rsidRDefault="00B218F9" w:rsidP="00712B34">
      <w:pPr>
        <w:pStyle w:val="Heading1"/>
      </w:pPr>
      <w:bookmarkStart w:id="839" w:name="_Toc72342170"/>
      <w:bookmarkStart w:id="840" w:name="_Toc107578129"/>
      <w:r>
        <w:t>I.7 STRAIPSNIS.</w:t>
      </w:r>
      <w:r w:rsidR="00825755">
        <w:t xml:space="preserve"> </w:t>
      </w:r>
      <w:bookmarkEnd w:id="839"/>
      <w:r w:rsidR="00825755">
        <w:t>PAPILDOMA NUOSTATA DĖL GAVĖJO VYKDOMO ASMENS DUOMENŲ TVARKYMO</w:t>
      </w:r>
      <w:bookmarkEnd w:id="840"/>
    </w:p>
    <w:p w14:paraId="63D6D0A9" w14:textId="14F45D4D" w:rsidR="00A0731A" w:rsidRPr="00E83D80" w:rsidRDefault="00A0731A" w:rsidP="00A0731A">
      <w:pPr>
        <w:pStyle w:val="Heading3"/>
        <w:keepNext w:val="0"/>
        <w:keepLines w:val="0"/>
        <w:suppressAutoHyphens w:val="0"/>
        <w:spacing w:before="100" w:beforeAutospacing="1" w:after="100" w:afterAutospacing="1"/>
        <w:jc w:val="both"/>
        <w:rPr>
          <w:rFonts w:eastAsia="Times New Roman" w:cs="Times New Roman"/>
        </w:rPr>
      </w:pPr>
      <w:bookmarkStart w:id="841" w:name="_Toc102463248"/>
      <w:bookmarkStart w:id="842" w:name="_Toc107578130"/>
      <w:r>
        <w:rPr>
          <w:rFonts w:ascii="Times New Roman" w:hAnsi="Times New Roman"/>
          <w:color w:val="auto"/>
          <w:sz w:val="24"/>
        </w:rPr>
        <w:t>I.7.1</w:t>
      </w:r>
      <w:r>
        <w:tab/>
      </w:r>
      <w:r>
        <w:rPr>
          <w:rFonts w:ascii="Times New Roman" w:hAnsi="Times New Roman"/>
          <w:color w:val="auto"/>
          <w:sz w:val="24"/>
        </w:rPr>
        <w:t>Pareiga teikti ataskaitas</w:t>
      </w:r>
      <w:bookmarkEnd w:id="841"/>
      <w:bookmarkEnd w:id="842"/>
    </w:p>
    <w:p w14:paraId="16801D9A" w14:textId="1085AE6A" w:rsidR="00A62DDE" w:rsidRDefault="00A62DDE" w:rsidP="00A62DDE">
      <w:pPr>
        <w:jc w:val="both"/>
        <w:rPr>
          <w:rFonts w:ascii="Times New Roman" w:eastAsia="Times New Roman" w:hAnsi="Times New Roman"/>
          <w:sz w:val="24"/>
          <w:szCs w:val="24"/>
        </w:rPr>
      </w:pPr>
      <w:r>
        <w:rPr>
          <w:rFonts w:ascii="Times New Roman" w:hAnsi="Times New Roman"/>
          <w:sz w:val="24"/>
        </w:rPr>
        <w:t>Gavėjas galutinėje ataskaitoje praneša apie priemones, kurių imtasi, kad būtų užtikrinta duomenų tvarkymo operacijų atitiktis Reglamento 2018/1725 nuostatoms, laikantis Bendrųjų sąlygų II.7.2 straipsnyje nustatytų prievolių bent tokiose srityse kaip: duomenų tvarkymo saugumas, duomenų tvarkymo konfidencialumas, pagalba duomenų valdytojui, duomenų saugojimas, indėlis į auditą, įskaitant patikras, asmens duomenų įrašų tvarka visoms duomenų valdytojo vardu vykdomos duomenų tvarkymo veiklos kategorijoms.</w:t>
      </w:r>
    </w:p>
    <w:p w14:paraId="712D3A7C" w14:textId="77777777" w:rsidR="00CC0686" w:rsidRPr="00001F48" w:rsidRDefault="00CC0686" w:rsidP="00CC0686">
      <w:pPr>
        <w:pStyle w:val="Heading3"/>
        <w:keepNext w:val="0"/>
        <w:keepLines w:val="0"/>
        <w:suppressAutoHyphens w:val="0"/>
        <w:spacing w:before="100" w:beforeAutospacing="1" w:after="100" w:afterAutospacing="1"/>
        <w:jc w:val="both"/>
        <w:rPr>
          <w:rFonts w:eastAsia="Times New Roman" w:cs="Times New Roman"/>
        </w:rPr>
      </w:pPr>
      <w:bookmarkStart w:id="843" w:name="_Toc102463249"/>
      <w:bookmarkStart w:id="844" w:name="_Toc107578131"/>
      <w:r>
        <w:rPr>
          <w:rFonts w:ascii="Times New Roman" w:hAnsi="Times New Roman"/>
          <w:color w:val="auto"/>
          <w:sz w:val="24"/>
        </w:rPr>
        <w:t>I.7.2</w:t>
      </w:r>
      <w:r>
        <w:tab/>
      </w:r>
      <w:r>
        <w:rPr>
          <w:rFonts w:ascii="Times New Roman" w:hAnsi="Times New Roman"/>
          <w:color w:val="auto"/>
          <w:sz w:val="24"/>
        </w:rPr>
        <w:t>DALYVIŲ INFORMAVIMAS APIE JŲ ASMENS DUOMENŲ TVARKYMĄ</w:t>
      </w:r>
      <w:bookmarkEnd w:id="843"/>
      <w:bookmarkEnd w:id="844"/>
    </w:p>
    <w:p w14:paraId="60E4CC84" w14:textId="52824173" w:rsidR="00F10621" w:rsidRDefault="00A62DDE" w:rsidP="00A62DDE">
      <w:pPr>
        <w:spacing w:after="0" w:line="240" w:lineRule="auto"/>
        <w:jc w:val="both"/>
        <w:rPr>
          <w:rFonts w:ascii="Times New Roman" w:eastAsia="Times New Roman" w:hAnsi="Times New Roman"/>
          <w:sz w:val="24"/>
          <w:szCs w:val="24"/>
        </w:rPr>
      </w:pPr>
      <w:r>
        <w:rPr>
          <w:rFonts w:ascii="Times New Roman" w:hAnsi="Times New Roman"/>
          <w:sz w:val="24"/>
        </w:rPr>
        <w:t>Gavėjas, prieš įtraukdami dalyvius į elektroninę Europos solidarumo korpuso mobilumo veiklos valdymo sistemą, pateikia dalyviams su jų asmens duomenų tvarkymu susijusį išsamų privatumo pareiškimą.</w:t>
      </w:r>
    </w:p>
    <w:p w14:paraId="43F02EA5" w14:textId="77777777" w:rsidR="00A62DDE" w:rsidRPr="00480642" w:rsidRDefault="00A62DDE" w:rsidP="00A62DDE">
      <w:pPr>
        <w:spacing w:after="0" w:line="240" w:lineRule="auto"/>
        <w:jc w:val="both"/>
        <w:rPr>
          <w:rFonts w:ascii="Times New Roman" w:eastAsia="Times New Roman" w:hAnsi="Times New Roman"/>
          <w:i/>
          <w:sz w:val="24"/>
          <w:szCs w:val="24"/>
        </w:rPr>
      </w:pPr>
    </w:p>
    <w:p w14:paraId="60E4CC85" w14:textId="196540FA" w:rsidR="00F10621" w:rsidRPr="00480642" w:rsidRDefault="00F10621" w:rsidP="00712B34">
      <w:pPr>
        <w:pStyle w:val="Heading1"/>
      </w:pPr>
      <w:r>
        <w:t xml:space="preserve"> </w:t>
      </w:r>
      <w:bookmarkStart w:id="845" w:name="_Toc107578132"/>
      <w:r w:rsidR="00B218F9">
        <w:t xml:space="preserve">I.8 STRAIPSNIS. </w:t>
      </w:r>
      <w:r>
        <w:t>DALYVIŲ APSAUGA IR SAUGUMAS</w:t>
      </w:r>
      <w:bookmarkEnd w:id="845"/>
      <w:r>
        <w:t xml:space="preserve"> </w:t>
      </w:r>
    </w:p>
    <w:p w14:paraId="60E4CC87" w14:textId="4187B711" w:rsidR="00F10621" w:rsidRDefault="00F10621" w:rsidP="00F10621">
      <w:pPr>
        <w:spacing w:after="0" w:line="240" w:lineRule="auto"/>
        <w:jc w:val="both"/>
        <w:rPr>
          <w:rFonts w:ascii="Times New Roman" w:eastAsia="Times New Roman" w:hAnsi="Times New Roman"/>
          <w:sz w:val="24"/>
          <w:szCs w:val="24"/>
        </w:rPr>
      </w:pPr>
      <w:r>
        <w:rPr>
          <w:rFonts w:ascii="Times New Roman" w:hAnsi="Times New Roman"/>
          <w:sz w:val="24"/>
        </w:rPr>
        <w:t xml:space="preserve">Gavėjas turi būti nustatęs veiksmingas procedūras ir tvarką, kuriomis turi būti užtikrinamas projekto dalyvių saugumas ir apsauga. </w:t>
      </w:r>
    </w:p>
    <w:p w14:paraId="0E86DD92" w14:textId="77777777" w:rsidR="00CC0686" w:rsidRPr="00480642" w:rsidRDefault="00CC0686" w:rsidP="00F10621">
      <w:pPr>
        <w:spacing w:after="0" w:line="240" w:lineRule="auto"/>
        <w:jc w:val="both"/>
        <w:rPr>
          <w:rFonts w:ascii="Times New Roman" w:eastAsia="Times New Roman" w:hAnsi="Times New Roman"/>
          <w:sz w:val="24"/>
          <w:szCs w:val="24"/>
        </w:rPr>
      </w:pPr>
    </w:p>
    <w:p w14:paraId="28F4F8D6" w14:textId="5179CBB9" w:rsidR="004E116C" w:rsidRDefault="004E116C" w:rsidP="004E116C">
      <w:pPr>
        <w:spacing w:after="0" w:line="240" w:lineRule="auto"/>
        <w:jc w:val="both"/>
        <w:rPr>
          <w:rFonts w:ascii="Times New Roman" w:eastAsia="Times New Roman" w:hAnsi="Times New Roman"/>
          <w:sz w:val="24"/>
          <w:szCs w:val="24"/>
        </w:rPr>
      </w:pPr>
      <w:r>
        <w:rPr>
          <w:rFonts w:ascii="Times New Roman" w:hAnsi="Times New Roman"/>
          <w:sz w:val="24"/>
          <w:highlight w:val="cyan"/>
        </w:rPr>
        <w:t>[SAVANORIŠKOS VEIKLOS PROJEKTŲ ATVEJU:</w:t>
      </w:r>
    </w:p>
    <w:p w14:paraId="5A94E88F" w14:textId="1BA4971A" w:rsidR="00441A4C" w:rsidRDefault="00F10621" w:rsidP="006B4A58">
      <w:pPr>
        <w:suppressAutoHyphens w:val="0"/>
        <w:spacing w:after="120" w:line="240" w:lineRule="auto"/>
        <w:jc w:val="both"/>
        <w:rPr>
          <w:rFonts w:ascii="Times New Roman" w:eastAsia="Times New Roman" w:hAnsi="Times New Roman"/>
          <w:sz w:val="24"/>
          <w:szCs w:val="24"/>
        </w:rPr>
      </w:pPr>
      <w:r>
        <w:rPr>
          <w:rFonts w:ascii="Times New Roman" w:hAnsi="Times New Roman"/>
          <w:sz w:val="24"/>
        </w:rPr>
        <w:t>Gavėjas kiekvienam dalyviui turi užtikrinti adekvačią draudimo apsaugą II priede aprašytos veiklos atveju.</w:t>
      </w:r>
    </w:p>
    <w:p w14:paraId="31B39C1E" w14:textId="7D2EA6D5" w:rsidR="00200A93" w:rsidRPr="002A2BD7" w:rsidRDefault="00441A4C" w:rsidP="002A2BD7">
      <w:pPr>
        <w:suppressAutoHyphens w:val="0"/>
        <w:spacing w:after="0" w:line="240" w:lineRule="auto"/>
        <w:jc w:val="both"/>
        <w:rPr>
          <w:rFonts w:ascii="Times New Roman" w:hAnsi="Times New Roman"/>
          <w:sz w:val="24"/>
          <w:szCs w:val="24"/>
          <w:highlight w:val="cyan"/>
        </w:rPr>
      </w:pPr>
      <w:r>
        <w:rPr>
          <w:rFonts w:ascii="Times New Roman" w:hAnsi="Times New Roman"/>
          <w:sz w:val="24"/>
        </w:rPr>
        <w:t>Gavėjas turi užtikrinti, kad kiekvienas tarpvalstybinės veiklos dalyvis visam savo buvimo užsienyje laikotarpiui turėtų Europos solidarumo korpuso išduotą draudimo liudijimą.</w:t>
      </w:r>
      <w:r>
        <w:rPr>
          <w:rFonts w:ascii="Times New Roman" w:hAnsi="Times New Roman"/>
          <w:sz w:val="24"/>
          <w:highlight w:val="cyan"/>
        </w:rPr>
        <w:t>]</w:t>
      </w:r>
    </w:p>
    <w:p w14:paraId="39BD671A" w14:textId="6293CFEF" w:rsidR="007A7F83" w:rsidRPr="00480642" w:rsidRDefault="007A7F83" w:rsidP="00F10621">
      <w:pPr>
        <w:spacing w:after="0" w:line="240" w:lineRule="auto"/>
        <w:jc w:val="both"/>
        <w:rPr>
          <w:rFonts w:ascii="Times New Roman" w:eastAsia="Times New Roman" w:hAnsi="Times New Roman"/>
          <w:sz w:val="24"/>
          <w:szCs w:val="24"/>
        </w:rPr>
      </w:pPr>
    </w:p>
    <w:p w14:paraId="60E4CC8E" w14:textId="10DC9ABC" w:rsidR="00F10621" w:rsidRPr="00480642" w:rsidRDefault="00B218F9" w:rsidP="00712B34">
      <w:pPr>
        <w:pStyle w:val="Heading1"/>
      </w:pPr>
      <w:bookmarkStart w:id="846" w:name="_Toc107578133"/>
      <w:r>
        <w:t xml:space="preserve">I.9 STRAIPSNIS. </w:t>
      </w:r>
      <w:r w:rsidR="00300FA2">
        <w:t>PAPILDOMOS NUOSTATOS DĖL ANKSTESNIŲ TEISIŲ IR REZULTATŲ (ĮSKAITANT INTELEKTINĖS IR PRAMONINĖS NUOSAVYBĖS TEISES) NAUDOJIMO</w:t>
      </w:r>
      <w:bookmarkEnd w:id="846"/>
      <w:r w:rsidR="00300FA2">
        <w:t xml:space="preserve"> </w:t>
      </w:r>
    </w:p>
    <w:p w14:paraId="60E4CC8F" w14:textId="14458ED3" w:rsidR="00F10621" w:rsidRDefault="00F10621" w:rsidP="001D2ED4">
      <w:pPr>
        <w:spacing w:after="0" w:line="240" w:lineRule="auto"/>
        <w:jc w:val="both"/>
        <w:rPr>
          <w:rFonts w:ascii="Times New Roman" w:hAnsi="Times New Roman"/>
          <w:sz w:val="24"/>
          <w:szCs w:val="24"/>
        </w:rPr>
      </w:pPr>
      <w:r>
        <w:rPr>
          <w:rFonts w:ascii="Times New Roman" w:hAnsi="Times New Roman"/>
          <w:sz w:val="24"/>
        </w:rPr>
        <w:t>Be Bendrųjų sąlygų II.9.3 straipsnio nuostatų, jei gavėjas pagal projektą parengia mokomosios medžiagos, tokia medžiaga turi būti prieinama internetu nemokamai ir pagal atvirąsias licencijas</w:t>
      </w:r>
      <w:r>
        <w:rPr>
          <w:rStyle w:val="Voetnoottekens"/>
          <w:rFonts w:ascii="Times New Roman" w:hAnsi="Times New Roman"/>
          <w:sz w:val="24"/>
          <w:szCs w:val="24"/>
        </w:rPr>
        <w:footnoteReference w:id="17"/>
      </w:r>
      <w:r>
        <w:rPr>
          <w:rFonts w:ascii="Times New Roman" w:hAnsi="Times New Roman"/>
          <w:sz w:val="24"/>
        </w:rPr>
        <w:t>.</w:t>
      </w:r>
    </w:p>
    <w:p w14:paraId="0BCA81B8" w14:textId="77777777" w:rsidR="00FD360D" w:rsidRDefault="00FD360D" w:rsidP="001D2ED4">
      <w:pPr>
        <w:spacing w:after="0" w:line="240" w:lineRule="auto"/>
        <w:jc w:val="both"/>
        <w:rPr>
          <w:rFonts w:ascii="Times New Roman" w:hAnsi="Times New Roman"/>
          <w:sz w:val="24"/>
          <w:szCs w:val="24"/>
        </w:rPr>
      </w:pPr>
    </w:p>
    <w:p w14:paraId="490986FB" w14:textId="177BC20E" w:rsidR="00FD360D" w:rsidRDefault="00FD360D" w:rsidP="001D2ED4">
      <w:pPr>
        <w:spacing w:after="0" w:line="240" w:lineRule="auto"/>
        <w:jc w:val="both"/>
        <w:rPr>
          <w:rFonts w:ascii="Times New Roman" w:hAnsi="Times New Roman"/>
          <w:sz w:val="24"/>
          <w:szCs w:val="24"/>
        </w:rPr>
      </w:pPr>
      <w:r>
        <w:rPr>
          <w:rFonts w:ascii="Times New Roman" w:hAnsi="Times New Roman"/>
          <w:sz w:val="24"/>
        </w:rPr>
        <w:t>Jei medžiagai ar dokumentams taikomos neturtinės ar trečiosios šalies teisės (įskaitant intelektinės nuosavybės teises ar fizinių asmenų teises į atvaizdą ir balsą), gavėjai turi užtikrinti, kad jos atitinka pagal Bendrųjų sąlygų II.9.2 straipsnį prisiimtas pareigas (visų pirma įsigyjant būtinas licencijas ir įgaliojimus iš atitinkamų teisių turėtojų).</w:t>
      </w:r>
    </w:p>
    <w:p w14:paraId="747E457F" w14:textId="77777777" w:rsidR="00B45637" w:rsidRPr="00480642" w:rsidRDefault="00B45637" w:rsidP="001D2ED4">
      <w:pPr>
        <w:spacing w:after="0" w:line="240" w:lineRule="auto"/>
        <w:jc w:val="both"/>
        <w:rPr>
          <w:rFonts w:ascii="Times New Roman" w:hAnsi="Times New Roman"/>
          <w:sz w:val="24"/>
          <w:szCs w:val="24"/>
        </w:rPr>
      </w:pPr>
    </w:p>
    <w:p w14:paraId="60E4CC90" w14:textId="7BB28BA9" w:rsidR="00F10621" w:rsidRPr="00480642" w:rsidRDefault="00B45637" w:rsidP="002A2BD7">
      <w:pPr>
        <w:jc w:val="both"/>
        <w:rPr>
          <w:rFonts w:ascii="Times New Roman" w:hAnsi="Times New Roman"/>
          <w:sz w:val="24"/>
          <w:szCs w:val="24"/>
        </w:rPr>
      </w:pPr>
      <w:r>
        <w:rPr>
          <w:rFonts w:ascii="Times New Roman" w:hAnsi="Times New Roman"/>
          <w:sz w:val="24"/>
        </w:rPr>
        <w:t>Gavėjas užtikrina, kad naudojamas svetainės adresas yra galiojantis ir atnaujintas. Jei svetainės priegloba nutraukiama, gavėjas turi pašalinti jos adresą iš organizacijų registracijos sistemos, kad būtų išvengta pavojaus, jog domeną perims kitas subjektas ir jis bus peradresuotas į kitas svetaines.</w:t>
      </w:r>
    </w:p>
    <w:p w14:paraId="6A550739" w14:textId="77777777" w:rsidR="001E7C1C" w:rsidRPr="00480642" w:rsidRDefault="001E7C1C">
      <w:pPr>
        <w:spacing w:after="0" w:line="240" w:lineRule="auto"/>
        <w:jc w:val="both"/>
        <w:rPr>
          <w:rFonts w:ascii="Times New Roman" w:hAnsi="Times New Roman"/>
          <w:sz w:val="24"/>
          <w:szCs w:val="24"/>
        </w:rPr>
      </w:pPr>
    </w:p>
    <w:p w14:paraId="60E4CC92" w14:textId="533C8ED3" w:rsidR="00F10621" w:rsidRPr="00480642" w:rsidRDefault="00B218F9" w:rsidP="00712B34">
      <w:pPr>
        <w:pStyle w:val="Heading1"/>
      </w:pPr>
      <w:bookmarkStart w:id="847" w:name="_Toc107578134"/>
      <w:r>
        <w:t>I.10 STRAIPSNIS.</w:t>
      </w:r>
      <w:r w:rsidR="0042567E">
        <w:t xml:space="preserve"> IT PRIEMONIŲ NAUDOJIMAS</w:t>
      </w:r>
      <w:bookmarkEnd w:id="847"/>
      <w:r w:rsidR="0042567E">
        <w:t xml:space="preserve"> </w:t>
      </w:r>
    </w:p>
    <w:p w14:paraId="60E4CC93" w14:textId="4B84E7FA" w:rsidR="00F10621" w:rsidRPr="00B07A1C" w:rsidRDefault="00AE1B45" w:rsidP="00E6068C">
      <w:pPr>
        <w:pStyle w:val="Heading2"/>
        <w:jc w:val="both"/>
        <w:rPr>
          <w:rFonts w:cs="Times New Roman"/>
        </w:rPr>
      </w:pPr>
      <w:bookmarkStart w:id="848" w:name="_Toc72499022"/>
      <w:bookmarkStart w:id="849" w:name="_Toc107578135"/>
      <w:r>
        <w:t>I.10.1</w:t>
      </w:r>
      <w:r>
        <w:tab/>
        <w:t>Europos solidarumo korpuso ataskaitų teikimo ir valdymo priemonė</w:t>
      </w:r>
      <w:bookmarkEnd w:id="848"/>
      <w:r>
        <w:t xml:space="preserve"> (dotacijos gavėjo modulis)</w:t>
      </w:r>
      <w:bookmarkEnd w:id="849"/>
    </w:p>
    <w:p w14:paraId="60E4CC94" w14:textId="77777777" w:rsidR="00F10621" w:rsidRPr="00480642" w:rsidRDefault="00F10621" w:rsidP="001D2ED4">
      <w:pPr>
        <w:spacing w:after="0" w:line="240" w:lineRule="auto"/>
        <w:jc w:val="both"/>
        <w:rPr>
          <w:rFonts w:ascii="Times New Roman" w:hAnsi="Times New Roman"/>
          <w:b/>
          <w:sz w:val="24"/>
          <w:szCs w:val="24"/>
        </w:rPr>
      </w:pPr>
    </w:p>
    <w:p w14:paraId="60E4CC95" w14:textId="481778F1" w:rsidR="00F10621" w:rsidRPr="00480642" w:rsidRDefault="00F10621" w:rsidP="003235E9">
      <w:pPr>
        <w:spacing w:after="0" w:line="240" w:lineRule="auto"/>
        <w:jc w:val="both"/>
        <w:rPr>
          <w:rFonts w:ascii="Times New Roman" w:hAnsi="Times New Roman"/>
          <w:sz w:val="24"/>
          <w:szCs w:val="24"/>
        </w:rPr>
      </w:pPr>
      <w:r>
        <w:rPr>
          <w:rFonts w:ascii="Times New Roman" w:hAnsi="Times New Roman"/>
          <w:sz w:val="24"/>
        </w:rPr>
        <w:t>Gavėjas turi naudotis Komisijos suteikiama internetine ataskaitų teikimo ir valdymo priemone, kad užfiksuotų visą informaciją apie vykdomą projekto veiklą (įskaitant veiklą, kuri nebuvo tiesiogiai remiama ES dotacijos lėšomis] ir kad parengtų ir pateiktų pažangos ataskaitą (-as), tarpinę ataskaitą (jei tą galima padaryti naudojantis Europos solidarumo korpuso ataskaitų teikimo ir valdymo priemone ir I.4.3 straipsnyje nurodytais atvejais) ir galutinę ataskaitą.</w:t>
      </w:r>
    </w:p>
    <w:p w14:paraId="60E4CC97" w14:textId="7A0F7C23" w:rsidR="00F10621" w:rsidRDefault="00F10621">
      <w:pPr>
        <w:spacing w:after="0" w:line="240" w:lineRule="auto"/>
        <w:jc w:val="both"/>
        <w:rPr>
          <w:rFonts w:ascii="Times New Roman" w:hAnsi="Times New Roman"/>
          <w:sz w:val="24"/>
          <w:szCs w:val="24"/>
        </w:rPr>
      </w:pPr>
    </w:p>
    <w:p w14:paraId="2A9B0AA2" w14:textId="6AAA698E" w:rsidR="00182FBA" w:rsidRDefault="005F7A6C" w:rsidP="00F10621">
      <w:pPr>
        <w:spacing w:after="0" w:line="240" w:lineRule="auto"/>
        <w:jc w:val="both"/>
        <w:rPr>
          <w:rFonts w:ascii="Times New Roman" w:hAnsi="Times New Roman"/>
          <w:sz w:val="24"/>
          <w:szCs w:val="24"/>
        </w:rPr>
      </w:pPr>
      <w:r>
        <w:rPr>
          <w:rFonts w:ascii="Times New Roman" w:hAnsi="Times New Roman"/>
          <w:sz w:val="24"/>
        </w:rPr>
        <w:t>Gavėjas įveda informaciją apie dalyvius ir veiklą iš karto atrinkus dalyvius ir ne vėliau negu likus [</w:t>
      </w:r>
      <w:r>
        <w:rPr>
          <w:rFonts w:ascii="Times New Roman" w:hAnsi="Times New Roman"/>
          <w:sz w:val="24"/>
          <w:highlight w:val="lightGray"/>
        </w:rPr>
        <w:t>…</w:t>
      </w:r>
      <w:r>
        <w:rPr>
          <w:rFonts w:ascii="Times New Roman" w:hAnsi="Times New Roman"/>
          <w:sz w:val="24"/>
        </w:rPr>
        <w:t xml:space="preserve">] savaitėms (-čių) iki dalyvio veiklos pradžios. </w:t>
      </w:r>
    </w:p>
    <w:p w14:paraId="30EE56F5" w14:textId="77777777" w:rsidR="00182FBA" w:rsidRDefault="00182FBA" w:rsidP="00F10621">
      <w:pPr>
        <w:spacing w:after="0" w:line="240" w:lineRule="auto"/>
        <w:jc w:val="both"/>
        <w:rPr>
          <w:rFonts w:ascii="Times New Roman" w:hAnsi="Times New Roman"/>
          <w:sz w:val="24"/>
          <w:szCs w:val="24"/>
        </w:rPr>
      </w:pPr>
    </w:p>
    <w:p w14:paraId="41F063D6" w14:textId="068ED285" w:rsidR="00182FBA" w:rsidRDefault="00CF7427" w:rsidP="00F10621">
      <w:pPr>
        <w:spacing w:after="0" w:line="240" w:lineRule="auto"/>
        <w:jc w:val="both"/>
        <w:rPr>
          <w:rFonts w:ascii="Times New Roman" w:hAnsi="Times New Roman"/>
          <w:sz w:val="24"/>
          <w:szCs w:val="24"/>
        </w:rPr>
      </w:pPr>
      <w:r>
        <w:rPr>
          <w:rFonts w:ascii="Times New Roman" w:hAnsi="Times New Roman"/>
          <w:sz w:val="24"/>
        </w:rPr>
        <w:t>Įgyvendinant projektą, bent kartą per mėnesį gavėjas, naudodamasis Europos solidarumo korpuso ataskaitų teikimo ir valdymo priemone, įveda ir atnaujina bet kokią naują informaciją apie dalyvius ir veiklą.</w:t>
      </w:r>
    </w:p>
    <w:p w14:paraId="60E4CCA1" w14:textId="47877E4E" w:rsidR="00F10621" w:rsidRPr="00B07A1C" w:rsidRDefault="00AD4AFC" w:rsidP="00AD4AFC">
      <w:pPr>
        <w:pStyle w:val="Heading2"/>
        <w:rPr>
          <w:rFonts w:cs="Times New Roman"/>
        </w:rPr>
      </w:pPr>
      <w:bookmarkStart w:id="850" w:name="_Toc72499023"/>
      <w:bookmarkStart w:id="851" w:name="_Toc107578136"/>
      <w:r>
        <w:t>I.10.2</w:t>
      </w:r>
      <w:r>
        <w:tab/>
        <w:t>Europos solidarumo korpuso rezultatų platforma</w:t>
      </w:r>
      <w:bookmarkEnd w:id="850"/>
      <w:bookmarkEnd w:id="851"/>
    </w:p>
    <w:p w14:paraId="60E4CCA2" w14:textId="77777777" w:rsidR="00F10621" w:rsidRPr="00480642" w:rsidRDefault="00F10621" w:rsidP="00F10621">
      <w:pPr>
        <w:spacing w:after="0" w:line="240" w:lineRule="auto"/>
        <w:jc w:val="both"/>
        <w:rPr>
          <w:rFonts w:ascii="Times New Roman" w:hAnsi="Times New Roman"/>
          <w:sz w:val="24"/>
          <w:szCs w:val="24"/>
        </w:rPr>
      </w:pPr>
    </w:p>
    <w:p w14:paraId="60E4CCA5" w14:textId="6AD176AA"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Gavėjas gali viešinti projekto rezultatus naudodamasis Europos solidarumo korpuso rezultatų platforma (</w:t>
      </w:r>
      <w:hyperlink r:id="rId19" w:history="1">
        <w:r>
          <w:rPr>
            <w:rStyle w:val="Hyperlink"/>
            <w:rFonts w:ascii="Times New Roman" w:hAnsi="Times New Roman"/>
            <w:sz w:val="24"/>
          </w:rPr>
          <w:t>https://europa.eu/youth/solidarity/projects/</w:t>
        </w:r>
      </w:hyperlink>
      <w:r>
        <w:rPr>
          <w:rStyle w:val="Hyperlink"/>
          <w:rFonts w:ascii="Times New Roman" w:hAnsi="Times New Roman"/>
          <w:sz w:val="24"/>
        </w:rPr>
        <w:t>)</w:t>
      </w:r>
      <w:r>
        <w:rPr>
          <w:rFonts w:ascii="Times New Roman" w:hAnsi="Times New Roman"/>
          <w:sz w:val="24"/>
        </w:rPr>
        <w:t xml:space="preserve"> pagal joje pateiktus nurodymus. </w:t>
      </w: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4BA31DA1" w14:textId="2B1E1F7E" w:rsidR="005F7A6C" w:rsidRPr="00395E0B" w:rsidRDefault="005F7A6C" w:rsidP="005F7A6C">
      <w:pPr>
        <w:spacing w:after="0" w:line="240" w:lineRule="auto"/>
        <w:jc w:val="both"/>
        <w:rPr>
          <w:rFonts w:ascii="Times New Roman" w:eastAsia="Times New Roman" w:hAnsi="Times New Roman"/>
          <w:smallCaps/>
          <w:snapToGrid w:val="0"/>
          <w:sz w:val="24"/>
          <w:szCs w:val="24"/>
        </w:rPr>
      </w:pPr>
      <w:bookmarkStart w:id="852" w:name="_Toc529785734"/>
      <w:bookmarkStart w:id="853" w:name="_Toc529786067"/>
      <w:bookmarkStart w:id="854" w:name="_Toc529785735"/>
      <w:bookmarkStart w:id="855" w:name="_Toc529786068"/>
      <w:bookmarkStart w:id="856" w:name="_Toc529785736"/>
      <w:bookmarkStart w:id="857" w:name="_Toc529786069"/>
      <w:bookmarkStart w:id="858" w:name="_Toc529785737"/>
      <w:bookmarkStart w:id="859" w:name="_Toc529786070"/>
      <w:bookmarkStart w:id="860" w:name="_Toc529785738"/>
      <w:bookmarkStart w:id="861" w:name="_Toc529786071"/>
      <w:bookmarkEnd w:id="852"/>
      <w:bookmarkEnd w:id="853"/>
      <w:bookmarkEnd w:id="854"/>
      <w:bookmarkEnd w:id="855"/>
      <w:bookmarkEnd w:id="856"/>
      <w:bookmarkEnd w:id="857"/>
      <w:bookmarkEnd w:id="858"/>
      <w:bookmarkEnd w:id="859"/>
      <w:bookmarkEnd w:id="860"/>
      <w:bookmarkEnd w:id="861"/>
      <w:r>
        <w:rPr>
          <w:rFonts w:ascii="Times New Roman" w:hAnsi="Times New Roman"/>
          <w:smallCaps/>
          <w:snapToGrid w:val="0"/>
          <w:sz w:val="24"/>
        </w:rPr>
        <w:t>[</w:t>
      </w:r>
      <w:r>
        <w:rPr>
          <w:rFonts w:ascii="Times New Roman" w:hAnsi="Times New Roman"/>
          <w:smallCaps/>
          <w:snapToGrid w:val="0"/>
          <w:sz w:val="24"/>
          <w:highlight w:val="cyan"/>
        </w:rPr>
        <w:t>Savanoriškos veiklos projektų atveju:</w:t>
      </w:r>
    </w:p>
    <w:p w14:paraId="4BB4881F" w14:textId="00C23A4B" w:rsidR="005F7A6C" w:rsidRPr="00A12B02" w:rsidRDefault="005F7A6C" w:rsidP="005F7A6C">
      <w:pPr>
        <w:pStyle w:val="Heading2"/>
        <w:rPr>
          <w:rFonts w:cs="Times New Roman"/>
          <w:szCs w:val="24"/>
        </w:rPr>
      </w:pPr>
      <w:bookmarkStart w:id="862" w:name="_Toc33004458"/>
      <w:bookmarkStart w:id="863" w:name="_Toc107578137"/>
      <w:r>
        <w:t>I.10.3</w:t>
      </w:r>
      <w:r>
        <w:tab/>
        <w:t>Europos solidarumo korpuso portalas</w:t>
      </w:r>
      <w:bookmarkEnd w:id="862"/>
      <w:bookmarkEnd w:id="863"/>
    </w:p>
    <w:p w14:paraId="67D6F6E9" w14:textId="4A06A50D" w:rsidR="005F7A6C" w:rsidRPr="00E97913" w:rsidRDefault="005F7A6C" w:rsidP="005F7A6C">
      <w:pPr>
        <w:tabs>
          <w:tab w:val="left" w:pos="3614"/>
        </w:tabs>
        <w:spacing w:after="0" w:line="240" w:lineRule="auto"/>
        <w:jc w:val="both"/>
        <w:rPr>
          <w:rFonts w:ascii="Times New Roman" w:hAnsi="Times New Roman"/>
          <w:sz w:val="24"/>
          <w:szCs w:val="24"/>
        </w:rPr>
      </w:pPr>
      <w:r>
        <w:rPr>
          <w:rFonts w:ascii="Times New Roman" w:hAnsi="Times New Roman"/>
          <w:sz w:val="24"/>
        </w:rPr>
        <w:t>Gavėjas turi pasirinkti dalyvius iš Europos solidarumo korpuso portalo pateikdamas pasiūlymą per specialią administravimo ir rėmimo sistemą (PASS).</w:t>
      </w:r>
      <w:r>
        <w:rPr>
          <w:rFonts w:ascii="Times New Roman" w:hAnsi="Times New Roman"/>
          <w:sz w:val="24"/>
          <w:highlight w:val="cyan"/>
        </w:rPr>
        <w:t>]</w:t>
      </w:r>
    </w:p>
    <w:p w14:paraId="08B05665" w14:textId="62388B25" w:rsidR="00366448" w:rsidRPr="003F7876" w:rsidRDefault="00366448">
      <w:pPr>
        <w:spacing w:after="0" w:line="240" w:lineRule="auto"/>
        <w:jc w:val="both"/>
        <w:rPr>
          <w:lang w:eastAsia="en-GB"/>
        </w:rPr>
      </w:pPr>
    </w:p>
    <w:p w14:paraId="443DE500" w14:textId="0F9535B2" w:rsidR="0042567E" w:rsidRPr="00480642" w:rsidRDefault="00B218F9" w:rsidP="00712B34">
      <w:pPr>
        <w:pStyle w:val="Heading1"/>
        <w:rPr>
          <w:shd w:val="clear" w:color="auto" w:fill="00FFFF"/>
        </w:rPr>
      </w:pPr>
      <w:bookmarkStart w:id="864" w:name="_Toc107578138"/>
      <w:r>
        <w:t xml:space="preserve">I.11 STRAIPSNIS. </w:t>
      </w:r>
      <w:r w:rsidR="00366448">
        <w:t>PAPILDOMOS NUOSTATOS DĖL SUBRANGOS</w:t>
      </w:r>
      <w:bookmarkEnd w:id="864"/>
    </w:p>
    <w:p w14:paraId="60E4CCBA" w14:textId="000C78B4" w:rsidR="00F10621" w:rsidRPr="00480642" w:rsidRDefault="00CF1335" w:rsidP="00F10621">
      <w:pPr>
        <w:spacing w:after="0" w:line="240" w:lineRule="auto"/>
        <w:jc w:val="both"/>
        <w:rPr>
          <w:rFonts w:ascii="Times New Roman" w:eastAsia="Times New Roman" w:hAnsi="Times New Roman"/>
          <w:sz w:val="24"/>
          <w:szCs w:val="24"/>
        </w:rPr>
      </w:pPr>
      <w:r>
        <w:rPr>
          <w:rFonts w:ascii="Times New Roman" w:hAnsi="Times New Roman"/>
          <w:sz w:val="24"/>
        </w:rPr>
        <w:t>II.11.1 straipsnio c punkto ir d punkto i papunkčio nuostatos išimties tvarka netaikomos.</w:t>
      </w:r>
      <w:r>
        <w:rPr>
          <w:rFonts w:ascii="Times New Roman" w:hAnsi="Times New Roman"/>
          <w:sz w:val="24"/>
          <w:highlight w:val="cyan"/>
          <w:shd w:val="clear" w:color="auto" w:fill="00FFFF"/>
        </w:rPr>
        <w:t xml:space="preserve"> </w:t>
      </w: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4F89FE6E" w:rsidR="00F10621" w:rsidRPr="00480642" w:rsidRDefault="00B218F9" w:rsidP="00712B34">
      <w:pPr>
        <w:pStyle w:val="Heading1"/>
      </w:pPr>
      <w:bookmarkStart w:id="865" w:name="_Toc107578139"/>
      <w:r>
        <w:t xml:space="preserve">I.12 STRAIPSNIS. </w:t>
      </w:r>
      <w:r w:rsidR="00F06EBE">
        <w:t>PAPILDOMA NUOSTATA DĖL SĄJUNGOS FINANSAVIMO MATOMUMO</w:t>
      </w:r>
      <w:bookmarkEnd w:id="865"/>
    </w:p>
    <w:p w14:paraId="60E4CCBD" w14:textId="11AAC20E" w:rsidR="00F10621" w:rsidRPr="00480642" w:rsidRDefault="00760C78" w:rsidP="00F10621">
      <w:pPr>
        <w:suppressAutoHyphens w:val="0"/>
        <w:spacing w:after="0" w:line="240" w:lineRule="auto"/>
        <w:jc w:val="both"/>
        <w:rPr>
          <w:rFonts w:ascii="Times New Roman" w:hAnsi="Times New Roman"/>
          <w:sz w:val="24"/>
          <w:szCs w:val="24"/>
        </w:rPr>
      </w:pPr>
      <w:r>
        <w:rPr>
          <w:rFonts w:ascii="Times New Roman" w:hAnsi="Times New Roman"/>
          <w:sz w:val="24"/>
        </w:rPr>
        <w:t xml:space="preserve">Be II.8 straipsnio, gavėjas bet kokioje informacinėje ir reklaminėje medžiagoje, įskaitant interneto svetaines ir socialinę žiniasklaidą, nurodo gavęs paramą pagal Europos solidarumo korpuso programą. Gairių gavėjams ir kitoms trečiosioms šalims pateikta adresu </w:t>
      </w:r>
      <w:hyperlink r:id="rId20" w:history="1">
        <w:r>
          <w:rPr>
            <w:rStyle w:val="Hyperlink"/>
            <w:rFonts w:ascii="Times New Roman" w:hAnsi="Times New Roman"/>
            <w:sz w:val="24"/>
          </w:rPr>
          <w:t>https://ec.europa.eu/info/resources-partners/european-commission-visual-identity_en</w:t>
        </w:r>
      </w:hyperlink>
      <w:r>
        <w:rPr>
          <w:rFonts w:ascii="Times New Roman" w:hAnsi="Times New Roman"/>
          <w:sz w:val="24"/>
        </w:rPr>
        <w:t xml:space="preserve">  </w:t>
      </w:r>
    </w:p>
    <w:p w14:paraId="2F8FA809" w14:textId="77777777" w:rsidR="0042567E" w:rsidRPr="003F7876" w:rsidRDefault="0042567E" w:rsidP="003F7876"/>
    <w:p w14:paraId="47BEFC65" w14:textId="1F6D8317" w:rsidR="0042567E" w:rsidRDefault="00B218F9" w:rsidP="00712B34">
      <w:pPr>
        <w:pStyle w:val="Heading1"/>
      </w:pPr>
      <w:bookmarkStart w:id="866" w:name="_Toc107578140"/>
      <w:r>
        <w:t xml:space="preserve">I.13 STRAIPSNIS. </w:t>
      </w:r>
      <w:r w:rsidR="0042567E">
        <w:t>PAPILDOMOS NUOSTATOS DĖL DALYVIŲ RĖMIMO</w:t>
      </w:r>
      <w:bookmarkEnd w:id="866"/>
    </w:p>
    <w:p w14:paraId="7C26FD11" w14:textId="5BA7418E" w:rsidR="00760C78" w:rsidRDefault="00760C78" w:rsidP="00F10621">
      <w:pPr>
        <w:jc w:val="both"/>
      </w:pPr>
      <w:r>
        <w:rPr>
          <w:rFonts w:ascii="Times New Roman" w:hAnsi="Times New Roman"/>
          <w:sz w:val="24"/>
        </w:rPr>
        <w:t>Pagal Bendrųjų sąlygų II.12 straipsnį, jeigu įgyvendinant projektą gavėjas turi teikti paramą dalyviams, gavėjas privalo teikti tokią paramą pagal II ir IV prieduose nustatytas sąlygas.</w:t>
      </w:r>
    </w:p>
    <w:p w14:paraId="60E4CCCD" w14:textId="418D808A" w:rsidR="00F10621" w:rsidRPr="00480642" w:rsidRDefault="0042567E" w:rsidP="00F10621">
      <w:pPr>
        <w:jc w:val="both"/>
        <w:rPr>
          <w:rFonts w:ascii="Times New Roman" w:hAnsi="Times New Roman"/>
          <w:sz w:val="24"/>
          <w:szCs w:val="24"/>
        </w:rPr>
      </w:pPr>
      <w:r>
        <w:t xml:space="preserve"> </w:t>
      </w:r>
      <w:r>
        <w:rPr>
          <w:rFonts w:ascii="Times New Roman" w:hAnsi="Times New Roman"/>
          <w:sz w:val="24"/>
        </w:rPr>
        <w:t>Gavėjas turi:</w:t>
      </w:r>
    </w:p>
    <w:p w14:paraId="67DB4509" w14:textId="0EF6EBD7" w:rsidR="00454D61" w:rsidRDefault="00454D61" w:rsidP="00D4062F">
      <w:pPr>
        <w:pStyle w:val="ListDash"/>
      </w:pPr>
      <w:r>
        <w:t xml:space="preserve">pervesti jauniesiems dalyviams visą finansinę paramą pagal biudžeto kategoriją „Kišenpinigiai“, taikydamas vieneto įnašų normas, kaip nustatyta IV priede, </w:t>
      </w:r>
    </w:p>
    <w:p w14:paraId="1A09B152" w14:textId="6A2DDCA8" w:rsidR="00D4062F" w:rsidRDefault="00D4062F" w:rsidP="006236C7">
      <w:pPr>
        <w:pStyle w:val="ListDash"/>
        <w:numPr>
          <w:ilvl w:val="0"/>
          <w:numId w:val="0"/>
        </w:numPr>
        <w:ind w:left="283"/>
      </w:pPr>
      <w:r>
        <w:t xml:space="preserve">ir </w:t>
      </w:r>
    </w:p>
    <w:p w14:paraId="5E17A688" w14:textId="76E381C8" w:rsidR="00C564F5" w:rsidRDefault="00F10621" w:rsidP="2D7A0B95">
      <w:pPr>
        <w:pStyle w:val="ListDash"/>
      </w:pPr>
      <w:r>
        <w:t>pervesti projekto veiklos dalyviams visą finansinę paramą pagal [NA pasirenka atitinkamas biudžeto kategorijas priklausomai nuo veiksmo: kelionių ir kalbinio parengimo] biudžeto kategorijas, taikant vieneto įnašų normas, kaip nustatyta IV priede;</w:t>
      </w:r>
    </w:p>
    <w:p w14:paraId="4E2EE769" w14:textId="343817E1" w:rsidR="00C564F5" w:rsidRPr="00C564F5" w:rsidRDefault="00C564F5" w:rsidP="00C564F5">
      <w:pPr>
        <w:pStyle w:val="ListDash"/>
      </w:pPr>
      <w:r>
        <w:t xml:space="preserve">arba teikti projekto veiklos dalyviams paramą pagal [NA pasirenka atitinkamas biudžeto kategorijas priklausomai nuo veiksmo: kelionių ir kalbinės paramos] biudžeto kategorijas, suteikiant reikiamas prekes ir paslaugas. Tokiu atveju gavėjas turi užtikrinti, kad teikiamos prekės ir paslaugos atitiktų būtinus kokybės ir saugos standartus. </w:t>
      </w:r>
    </w:p>
    <w:p w14:paraId="60E4CCE2" w14:textId="3C8E7C92" w:rsidR="00F10621" w:rsidRPr="006B4A58" w:rsidRDefault="00F10621" w:rsidP="006B4A58">
      <w:pPr>
        <w:suppressAutoHyphens w:val="0"/>
        <w:spacing w:after="0" w:line="240" w:lineRule="auto"/>
        <w:jc w:val="both"/>
        <w:rPr>
          <w:rFonts w:ascii="Times New Roman" w:hAnsi="Times New Roman"/>
          <w:i/>
          <w:iCs/>
          <w:sz w:val="24"/>
          <w:szCs w:val="24"/>
        </w:rPr>
      </w:pPr>
      <w:r>
        <w:rPr>
          <w:rFonts w:ascii="Times New Roman" w:hAnsi="Times New Roman"/>
          <w:sz w:val="24"/>
        </w:rPr>
        <w:t>Gavėjas gali derinti abu ankstesnėje pastraipoje nurodytus variantus, jeigu jais užtikrinamos tinkamos ir vienodos sąlygos visiems dalyviams. Tokiu atveju kiekvienam iš šių variantų taikytinos sąlygos turi būti taikomos toms biudžeto kategorijoms, kurioms atitinkamas variantas yra taikomas.</w:t>
      </w:r>
    </w:p>
    <w:p w14:paraId="356DFA1E" w14:textId="77777777" w:rsidR="00041E5C" w:rsidRPr="00712B34" w:rsidRDefault="00041E5C" w:rsidP="00A76A5F">
      <w:pPr>
        <w:pStyle w:val="ListParagraph"/>
        <w:suppressAutoHyphens w:val="0"/>
        <w:spacing w:after="0" w:line="240" w:lineRule="auto"/>
        <w:jc w:val="both"/>
        <w:rPr>
          <w:rFonts w:ascii="Times New Roman" w:hAnsi="Times New Roman"/>
          <w:sz w:val="24"/>
        </w:rPr>
      </w:pPr>
    </w:p>
    <w:p w14:paraId="37927E6E" w14:textId="016762D3" w:rsidR="0042567E" w:rsidRDefault="00B218F9" w:rsidP="00712B34">
      <w:pPr>
        <w:pStyle w:val="Heading1"/>
      </w:pPr>
      <w:bookmarkStart w:id="867" w:name="_Toc107578141"/>
      <w:r>
        <w:t xml:space="preserve">I.14 STRAIPSNIS. </w:t>
      </w:r>
      <w:r w:rsidR="0042567E">
        <w:t>MAŽIAU GALIMYBIŲ TURINČIŲ DALYVIŲ ĮTRAUKTIES RĖMIMO NUOSTATOS</w:t>
      </w:r>
      <w:bookmarkEnd w:id="867"/>
    </w:p>
    <w:p w14:paraId="0F66F9D6" w14:textId="131E222A" w:rsidR="00281CAD" w:rsidRPr="006B4A58" w:rsidRDefault="0086171F" w:rsidP="006B4A58">
      <w:pPr>
        <w:jc w:val="both"/>
        <w:rPr>
          <w:rFonts w:ascii="Times New Roman" w:hAnsi="Times New Roman"/>
          <w:sz w:val="24"/>
          <w:szCs w:val="24"/>
        </w:rPr>
      </w:pPr>
      <w:r>
        <w:rPr>
          <w:rFonts w:ascii="Times New Roman" w:hAnsi="Times New Roman"/>
          <w:sz w:val="24"/>
        </w:rPr>
        <w:t>Netaikoma.</w:t>
      </w:r>
      <w:bookmarkStart w:id="868" w:name="_Toc72340599"/>
      <w:bookmarkEnd w:id="868"/>
    </w:p>
    <w:p w14:paraId="67C92337" w14:textId="6270240D" w:rsidR="00E21880" w:rsidRPr="00B4647A" w:rsidRDefault="00B218F9" w:rsidP="00712B34">
      <w:pPr>
        <w:pStyle w:val="Heading1"/>
      </w:pPr>
      <w:bookmarkStart w:id="869" w:name="_Toc72342189"/>
      <w:bookmarkStart w:id="870" w:name="_Toc72499031"/>
      <w:bookmarkStart w:id="871" w:name="_Toc107578142"/>
      <w:r>
        <w:t xml:space="preserve">I.15 STRAIPSNIS. </w:t>
      </w:r>
      <w:r w:rsidR="00281CAD">
        <w:t>SPECIALIOSIOS NUOSTATOS DĖL BIUDŽETO LĖŠŲ PERKĖLIMO</w:t>
      </w:r>
      <w:bookmarkEnd w:id="869"/>
      <w:bookmarkEnd w:id="870"/>
      <w:bookmarkEnd w:id="871"/>
      <w:r w:rsidR="00281CAD">
        <w:t xml:space="preserve"> </w:t>
      </w:r>
    </w:p>
    <w:p w14:paraId="49A4ACFF" w14:textId="719BC9B0" w:rsidR="008C0F13" w:rsidRPr="00780AF6" w:rsidRDefault="005D5485" w:rsidP="008C0F13">
      <w:pPr>
        <w:pStyle w:val="paragraph"/>
        <w:ind w:left="284" w:firstLine="0"/>
        <w:rPr>
          <w:bCs/>
        </w:rPr>
      </w:pPr>
      <w:r>
        <w:t>Išimties tvarka pagal Bendrųjų sąlygų II.22 straipsnį gavėjui leidžiama perkelti lėšas tarp įvairių biudžeto kategorijų ir atitinkamai pakeisti biudžeto sąmatą ir susijusias II priede aprašytas veiklos rūšis, neprašant pakeisti Sutarties, su sąlyga, kad:</w:t>
      </w:r>
    </w:p>
    <w:p w14:paraId="4D8D81E9" w14:textId="77777777" w:rsidR="008C0F13" w:rsidRPr="00712B34" w:rsidRDefault="008C0F13" w:rsidP="008C0F13">
      <w:pPr>
        <w:pStyle w:val="paragraph"/>
        <w:ind w:left="284" w:firstLine="0"/>
        <w:rPr>
          <w:bCs/>
        </w:rPr>
      </w:pPr>
    </w:p>
    <w:p w14:paraId="48BDA83A" w14:textId="77777777" w:rsidR="008C0F13" w:rsidRPr="00780AF6" w:rsidRDefault="008C0F13" w:rsidP="008C0F13">
      <w:pPr>
        <w:pStyle w:val="paragraph"/>
        <w:ind w:left="644"/>
        <w:rPr>
          <w:b/>
        </w:rPr>
      </w:pPr>
      <w:r>
        <w:lastRenderedPageBreak/>
        <w:t>-</w:t>
      </w:r>
      <w:r>
        <w:tab/>
      </w:r>
      <w:r>
        <w:rPr>
          <w:snapToGrid/>
        </w:rPr>
        <w:t>projektas įgyvendinamas taip, kaip nustatyta patvirtintoje projekto paraiškoje, ir siekiant bendrų tikslų, nustatytų II priede,</w:t>
      </w:r>
      <w:r>
        <w:rPr>
          <w:color w:val="1F497D"/>
        </w:rPr>
        <w:t xml:space="preserve"> </w:t>
      </w:r>
    </w:p>
    <w:p w14:paraId="2EEB9815" w14:textId="77777777" w:rsidR="008C0F13" w:rsidRPr="00780AF6" w:rsidRDefault="008C0F13" w:rsidP="008C0F13">
      <w:pPr>
        <w:pStyle w:val="paragraph"/>
        <w:ind w:left="644" w:firstLine="0"/>
        <w:rPr>
          <w:b/>
        </w:rPr>
      </w:pPr>
    </w:p>
    <w:p w14:paraId="7A127545" w14:textId="1216050E" w:rsidR="008C0F13" w:rsidRPr="006B4A58" w:rsidRDefault="008C0F13" w:rsidP="006B4A58">
      <w:pPr>
        <w:pStyle w:val="paragraph"/>
        <w:ind w:left="644"/>
        <w:rPr>
          <w:rFonts w:eastAsia="Calibri"/>
          <w:snapToGrid/>
        </w:rPr>
      </w:pPr>
      <w:r>
        <w:rPr>
          <w:snapToGrid/>
        </w:rPr>
        <w:t>-</w:t>
      </w:r>
      <w:r>
        <w:tab/>
      </w:r>
      <w:r>
        <w:rPr>
          <w:snapToGrid/>
        </w:rPr>
        <w:t>laikomasi šių konkrečių taisyklių:</w:t>
      </w:r>
    </w:p>
    <w:p w14:paraId="3129C025" w14:textId="77777777" w:rsidR="008C0F13" w:rsidRPr="00780AF6" w:rsidRDefault="008C0F13" w:rsidP="008C0F13">
      <w:pPr>
        <w:suppressAutoHyphens w:val="0"/>
        <w:spacing w:after="0" w:line="240" w:lineRule="auto"/>
        <w:jc w:val="both"/>
        <w:rPr>
          <w:rFonts w:ascii="Times New Roman" w:eastAsia="Times New Roman" w:hAnsi="Times New Roman"/>
          <w:smallCaps/>
          <w:snapToGrid w:val="0"/>
          <w:sz w:val="24"/>
          <w:szCs w:val="24"/>
          <w:lang w:eastAsia="en-GB"/>
        </w:rPr>
      </w:pPr>
    </w:p>
    <w:p w14:paraId="29BD0A75" w14:textId="13EE15A9" w:rsidR="008C0F13" w:rsidRPr="00780AF6" w:rsidRDefault="008C0F13" w:rsidP="008C0F13">
      <w:pPr>
        <w:suppressAutoHyphens w:val="0"/>
        <w:spacing w:after="0" w:line="240" w:lineRule="auto"/>
        <w:jc w:val="both"/>
        <w:rPr>
          <w:rFonts w:ascii="Times New Roman" w:eastAsia="Times New Roman" w:hAnsi="Times New Roman"/>
          <w:smallCaps/>
          <w:snapToGrid w:val="0"/>
          <w:sz w:val="24"/>
          <w:szCs w:val="24"/>
        </w:rPr>
      </w:pPr>
      <w:r>
        <w:rPr>
          <w:rFonts w:ascii="Times New Roman" w:hAnsi="Times New Roman"/>
          <w:smallCaps/>
          <w:snapToGrid w:val="0"/>
          <w:sz w:val="24"/>
        </w:rPr>
        <w:t>[</w:t>
      </w:r>
      <w:r>
        <w:rPr>
          <w:rFonts w:ascii="Times New Roman" w:hAnsi="Times New Roman"/>
          <w:smallCaps/>
          <w:snapToGrid w:val="0"/>
          <w:sz w:val="24"/>
          <w:highlight w:val="cyan"/>
        </w:rPr>
        <w:t>Savanoriškos veiklos projektų atveju</w:t>
      </w:r>
      <w:r>
        <w:rPr>
          <w:rFonts w:ascii="Times New Roman" w:hAnsi="Times New Roman"/>
          <w:smallCaps/>
          <w:snapToGrid w:val="0"/>
          <w:sz w:val="24"/>
        </w:rPr>
        <w:t>:</w:t>
      </w:r>
    </w:p>
    <w:p w14:paraId="5446FB20" w14:textId="77777777" w:rsidR="008C0F13" w:rsidRPr="00780AF6" w:rsidRDefault="008C0F13" w:rsidP="008C0F13">
      <w:pPr>
        <w:spacing w:after="0" w:line="240" w:lineRule="auto"/>
        <w:jc w:val="both"/>
        <w:rPr>
          <w:rFonts w:ascii="Times New Roman" w:hAnsi="Times New Roman"/>
          <w:sz w:val="24"/>
          <w:szCs w:val="24"/>
        </w:rPr>
      </w:pPr>
    </w:p>
    <w:p w14:paraId="11791936" w14:textId="77777777" w:rsidR="00CD55D9" w:rsidRPr="006236C7" w:rsidRDefault="00CD55D9" w:rsidP="00CD55D9">
      <w:pPr>
        <w:spacing w:after="0" w:line="240" w:lineRule="auto"/>
        <w:ind w:left="66"/>
        <w:jc w:val="both"/>
        <w:rPr>
          <w:rFonts w:ascii="Times New Roman" w:eastAsia="Times New Roman" w:hAnsi="Times New Roman"/>
          <w:bCs/>
          <w:snapToGrid w:val="0"/>
          <w:sz w:val="24"/>
          <w:szCs w:val="24"/>
        </w:rPr>
      </w:pPr>
      <w:r>
        <w:rPr>
          <w:rFonts w:ascii="Times New Roman" w:hAnsi="Times New Roman"/>
          <w:snapToGrid w:val="0"/>
          <w:sz w:val="24"/>
        </w:rPr>
        <w:t>Gavėjas dotaciją valdo taip, kad būtų pasiektas tikslas įgyvendinti tikslinę veiklą, nustatytą II priede, ir visapusiškai laikydamasis IV priede nustatytų finansavimo taisyklių. Visi biudžeto lėšų perkėlimai iš biudžeto kategorijos „Išimtinės išlaidos“, siekiant paremti mažiau galimybių turinčių jaunuolių dalyvavimą, į kitą biudžeto kategoriją daromi tik keičiant Sutartį.</w:t>
      </w:r>
      <w:r>
        <w:rPr>
          <w:rFonts w:ascii="Times New Roman" w:hAnsi="Times New Roman"/>
          <w:snapToGrid w:val="0"/>
          <w:sz w:val="24"/>
          <w:highlight w:val="cyan"/>
        </w:rPr>
        <w:t xml:space="preserve"> ]</w:t>
      </w:r>
    </w:p>
    <w:p w14:paraId="0CF974FC" w14:textId="69C24FAA" w:rsidR="008C0F13" w:rsidRPr="00780AF6" w:rsidRDefault="008C0F13" w:rsidP="008C0F13">
      <w:pPr>
        <w:spacing w:after="0" w:line="240" w:lineRule="auto"/>
        <w:ind w:left="426" w:hanging="360"/>
        <w:jc w:val="both"/>
        <w:rPr>
          <w:rFonts w:ascii="Times New Roman" w:hAnsi="Times New Roman"/>
          <w:sz w:val="24"/>
          <w:szCs w:val="24"/>
        </w:rPr>
      </w:pPr>
    </w:p>
    <w:p w14:paraId="505456A2" w14:textId="77777777" w:rsidR="008C0F13" w:rsidRPr="00780AF6" w:rsidRDefault="008C0F13" w:rsidP="008C0F13">
      <w:pPr>
        <w:spacing w:after="0" w:line="240" w:lineRule="auto"/>
        <w:jc w:val="both"/>
        <w:rPr>
          <w:rFonts w:ascii="Times New Roman" w:hAnsi="Times New Roman"/>
          <w:sz w:val="24"/>
          <w:szCs w:val="24"/>
        </w:rPr>
      </w:pPr>
    </w:p>
    <w:p w14:paraId="4E8C752B" w14:textId="0B19252C" w:rsidR="008C0F13" w:rsidRPr="00780AF6" w:rsidRDefault="008C0F13" w:rsidP="008C0F13">
      <w:pPr>
        <w:spacing w:after="0" w:line="240" w:lineRule="auto"/>
        <w:jc w:val="both"/>
        <w:rPr>
          <w:rFonts w:ascii="Times New Roman" w:eastAsia="Times New Roman" w:hAnsi="Times New Roman"/>
          <w:smallCaps/>
          <w:snapToGrid w:val="0"/>
          <w:sz w:val="24"/>
          <w:szCs w:val="24"/>
        </w:rPr>
      </w:pPr>
      <w:r>
        <w:rPr>
          <w:rFonts w:ascii="Times New Roman" w:hAnsi="Times New Roman"/>
          <w:smallCaps/>
          <w:snapToGrid w:val="0"/>
          <w:sz w:val="24"/>
        </w:rPr>
        <w:t>[</w:t>
      </w:r>
      <w:r>
        <w:rPr>
          <w:rFonts w:ascii="Times New Roman" w:hAnsi="Times New Roman"/>
          <w:smallCaps/>
          <w:snapToGrid w:val="0"/>
          <w:sz w:val="24"/>
          <w:highlight w:val="cyan"/>
        </w:rPr>
        <w:t>Solidarumo projektų atveju</w:t>
      </w:r>
      <w:r>
        <w:rPr>
          <w:rFonts w:ascii="Times New Roman" w:hAnsi="Times New Roman"/>
          <w:smallCaps/>
          <w:snapToGrid w:val="0"/>
          <w:sz w:val="24"/>
        </w:rPr>
        <w:t>:</w:t>
      </w:r>
    </w:p>
    <w:p w14:paraId="7D77D72C" w14:textId="77777777" w:rsidR="008C0F13" w:rsidRPr="00780AF6" w:rsidRDefault="008C0F13" w:rsidP="008C0F13">
      <w:pPr>
        <w:spacing w:after="0" w:line="240" w:lineRule="auto"/>
        <w:jc w:val="both"/>
        <w:rPr>
          <w:rFonts w:ascii="Times New Roman" w:eastAsia="Times New Roman" w:hAnsi="Times New Roman"/>
          <w:smallCaps/>
          <w:snapToGrid w:val="0"/>
          <w:sz w:val="24"/>
          <w:szCs w:val="24"/>
          <w:lang w:eastAsia="en-GB"/>
        </w:rPr>
      </w:pPr>
    </w:p>
    <w:p w14:paraId="49A419EE" w14:textId="5E771761" w:rsidR="00DE6EA5" w:rsidRDefault="008C0F13" w:rsidP="008C0F13">
      <w:pPr>
        <w:pStyle w:val="paragraph"/>
        <w:tabs>
          <w:tab w:val="left" w:pos="709"/>
        </w:tabs>
        <w:ind w:left="567" w:hanging="567"/>
      </w:pPr>
      <w:r>
        <w:rPr>
          <w:smallCaps/>
        </w:rPr>
        <w:t xml:space="preserve"> </w:t>
      </w:r>
      <w:r>
        <w:t>Gavėjui leidžiama perkelti iki 15 proc. lėšų, priskirtų išimtinių išlaidų biudžeto kategorijai, skiriant jas bet kuriai kitai biudžeto kategorijai.</w:t>
      </w:r>
      <w:r>
        <w:rPr>
          <w:highlight w:val="cyan"/>
        </w:rPr>
        <w:t>]</w:t>
      </w:r>
    </w:p>
    <w:p w14:paraId="5F438E6F" w14:textId="3DBC19F5" w:rsidR="009F47BE" w:rsidRDefault="009F47BE" w:rsidP="008C0F13">
      <w:pPr>
        <w:pStyle w:val="paragraph"/>
        <w:tabs>
          <w:tab w:val="left" w:pos="709"/>
        </w:tabs>
        <w:ind w:left="567" w:hanging="567"/>
      </w:pPr>
    </w:p>
    <w:p w14:paraId="4C990DB3" w14:textId="608F9F5D" w:rsidR="009F47BE" w:rsidRDefault="00B218F9" w:rsidP="00712B34">
      <w:pPr>
        <w:pStyle w:val="Heading1"/>
      </w:pPr>
      <w:bookmarkStart w:id="872" w:name="_Toc107578143"/>
      <w:bookmarkStart w:id="873" w:name="_Toc6994470"/>
      <w:r>
        <w:t xml:space="preserve">I.16 STRAIPSNIS. </w:t>
      </w:r>
      <w:r w:rsidR="0082783D">
        <w:t>II PRIEDE NURODYTOS JAUNIMO GRUPĖS SUDĖTIES PAKEITIMAS</w:t>
      </w:r>
      <w:bookmarkEnd w:id="872"/>
      <w:r w:rsidR="0082783D">
        <w:t xml:space="preserve"> </w:t>
      </w:r>
      <w:bookmarkEnd w:id="873"/>
    </w:p>
    <w:p w14:paraId="44BBC95D" w14:textId="77777777" w:rsidR="0006349F" w:rsidRPr="00780AF6" w:rsidRDefault="0006349F" w:rsidP="0006349F">
      <w:pPr>
        <w:suppressAutoHyphens w:val="0"/>
        <w:spacing w:after="0" w:line="240" w:lineRule="auto"/>
        <w:jc w:val="both"/>
        <w:rPr>
          <w:rFonts w:ascii="Times New Roman" w:eastAsia="Times New Roman" w:hAnsi="Times New Roman"/>
          <w:smallCaps/>
          <w:snapToGrid w:val="0"/>
          <w:sz w:val="24"/>
          <w:szCs w:val="24"/>
        </w:rPr>
      </w:pPr>
      <w:r>
        <w:rPr>
          <w:rFonts w:ascii="Times New Roman" w:hAnsi="Times New Roman"/>
          <w:smallCaps/>
          <w:snapToGrid w:val="0"/>
          <w:sz w:val="24"/>
        </w:rPr>
        <w:t>[</w:t>
      </w:r>
      <w:r>
        <w:rPr>
          <w:rFonts w:ascii="Times New Roman" w:hAnsi="Times New Roman"/>
          <w:smallCaps/>
          <w:snapToGrid w:val="0"/>
          <w:sz w:val="24"/>
          <w:highlight w:val="cyan"/>
        </w:rPr>
        <w:t>Savanoriškos veiklos projektų atveju</w:t>
      </w:r>
      <w:r>
        <w:rPr>
          <w:rFonts w:ascii="Times New Roman" w:hAnsi="Times New Roman"/>
          <w:smallCaps/>
          <w:snapToGrid w:val="0"/>
          <w:sz w:val="24"/>
        </w:rPr>
        <w:t>:</w:t>
      </w:r>
    </w:p>
    <w:p w14:paraId="6337D6BF" w14:textId="1D8987A3" w:rsidR="0006349F" w:rsidRDefault="0006349F" w:rsidP="0006349F">
      <w:pPr>
        <w:spacing w:after="0" w:line="240" w:lineRule="auto"/>
        <w:jc w:val="both"/>
        <w:rPr>
          <w:rFonts w:ascii="Times New Roman" w:hAnsi="Times New Roman"/>
          <w:sz w:val="24"/>
          <w:szCs w:val="24"/>
        </w:rPr>
      </w:pPr>
      <w:r>
        <w:rPr>
          <w:rFonts w:ascii="Times New Roman" w:hAnsi="Times New Roman"/>
          <w:sz w:val="24"/>
        </w:rPr>
        <w:t>Netaikoma.</w:t>
      </w:r>
    </w:p>
    <w:p w14:paraId="03DF735D" w14:textId="77777777" w:rsidR="0006349F" w:rsidRPr="00780AF6" w:rsidRDefault="0006349F" w:rsidP="0006349F">
      <w:pPr>
        <w:spacing w:after="0" w:line="240" w:lineRule="auto"/>
        <w:jc w:val="both"/>
        <w:rPr>
          <w:rFonts w:ascii="Times New Roman" w:hAnsi="Times New Roman"/>
          <w:sz w:val="24"/>
          <w:szCs w:val="24"/>
        </w:rPr>
      </w:pPr>
    </w:p>
    <w:p w14:paraId="2E595F79" w14:textId="14E62266" w:rsidR="0006349F" w:rsidRDefault="0006349F" w:rsidP="0006349F">
      <w:pPr>
        <w:spacing w:after="0" w:line="240" w:lineRule="auto"/>
        <w:jc w:val="both"/>
        <w:rPr>
          <w:rFonts w:ascii="Times New Roman" w:eastAsia="Times New Roman" w:hAnsi="Times New Roman"/>
          <w:smallCaps/>
          <w:snapToGrid w:val="0"/>
          <w:sz w:val="24"/>
          <w:szCs w:val="24"/>
        </w:rPr>
      </w:pPr>
      <w:r>
        <w:rPr>
          <w:rFonts w:ascii="Times New Roman" w:hAnsi="Times New Roman"/>
          <w:smallCaps/>
          <w:snapToGrid w:val="0"/>
          <w:sz w:val="24"/>
        </w:rPr>
        <w:t>[</w:t>
      </w:r>
      <w:r>
        <w:rPr>
          <w:rFonts w:ascii="Times New Roman" w:hAnsi="Times New Roman"/>
          <w:smallCaps/>
          <w:snapToGrid w:val="0"/>
          <w:sz w:val="24"/>
          <w:highlight w:val="cyan"/>
        </w:rPr>
        <w:t>Solidarumo projektų atveju</w:t>
      </w:r>
      <w:r>
        <w:rPr>
          <w:rFonts w:ascii="Times New Roman" w:hAnsi="Times New Roman"/>
          <w:smallCaps/>
          <w:snapToGrid w:val="0"/>
          <w:sz w:val="24"/>
        </w:rPr>
        <w:t>:</w:t>
      </w:r>
    </w:p>
    <w:p w14:paraId="5BC2704E" w14:textId="77777777" w:rsidR="0006349F" w:rsidRPr="00780AF6" w:rsidRDefault="0006349F" w:rsidP="0006349F">
      <w:pPr>
        <w:spacing w:after="0" w:line="240" w:lineRule="auto"/>
        <w:jc w:val="both"/>
        <w:rPr>
          <w:rFonts w:ascii="Times New Roman" w:eastAsia="Times New Roman" w:hAnsi="Times New Roman"/>
          <w:smallCaps/>
          <w:snapToGrid w:val="0"/>
          <w:sz w:val="24"/>
          <w:szCs w:val="24"/>
          <w:lang w:eastAsia="en-GB"/>
        </w:rPr>
      </w:pPr>
    </w:p>
    <w:p w14:paraId="66DEE816" w14:textId="77777777" w:rsidR="009F47BE" w:rsidRDefault="009F47BE" w:rsidP="009F47BE">
      <w:pPr>
        <w:spacing w:after="0" w:line="240" w:lineRule="auto"/>
        <w:jc w:val="both"/>
        <w:rPr>
          <w:rFonts w:ascii="Times New Roman" w:hAnsi="Times New Roman"/>
          <w:sz w:val="24"/>
          <w:szCs w:val="24"/>
        </w:rPr>
      </w:pPr>
      <w:r>
        <w:rPr>
          <w:rFonts w:ascii="Times New Roman" w:hAnsi="Times New Roman"/>
          <w:sz w:val="24"/>
        </w:rPr>
        <w:t xml:space="preserve">Gavėjas, nedarydamas pakeitimų, gali pakeisti II priede nurodytos jaunimo grupės sudėtį, su sąlyga, kad išlieka bent 50 proc. II priede numatytų pradinių dalyvių ir kad grupė per visą projekto trukmę ir toliau atitinka pradinius tinkamumo kriterijus. </w:t>
      </w:r>
    </w:p>
    <w:p w14:paraId="05CBD2C8" w14:textId="4E40E650" w:rsidR="007374D5" w:rsidRPr="006B4A58" w:rsidRDefault="007374D5" w:rsidP="006B4A58">
      <w:pPr>
        <w:jc w:val="both"/>
        <w:rPr>
          <w:rFonts w:ascii="Times New Roman" w:hAnsi="Times New Roman"/>
          <w:b/>
          <w:sz w:val="24"/>
          <w:szCs w:val="24"/>
        </w:rPr>
      </w:pPr>
    </w:p>
    <w:p w14:paraId="0092FDA8" w14:textId="3D33D85E" w:rsidR="007374D5" w:rsidRPr="00480642" w:rsidRDefault="00B218F9" w:rsidP="00712B34">
      <w:pPr>
        <w:pStyle w:val="Heading1"/>
      </w:pPr>
      <w:bookmarkStart w:id="874" w:name="_Toc107578144"/>
      <w:r>
        <w:t>I.17 STRAIPSNIS.</w:t>
      </w:r>
      <w:r w:rsidR="007374D5">
        <w:t xml:space="preserve"> PAPILDOMA NUOSTATA DĖL STEBĖSENOS IR VERTINIMO</w:t>
      </w:r>
      <w:bookmarkEnd w:id="874"/>
      <w:r w:rsidR="007374D5">
        <w:t xml:space="preserve"> </w:t>
      </w:r>
    </w:p>
    <w:p w14:paraId="6BA58030" w14:textId="56125315" w:rsidR="007374D5" w:rsidRDefault="007374D5" w:rsidP="007374D5">
      <w:pPr>
        <w:spacing w:after="0" w:line="240" w:lineRule="auto"/>
        <w:jc w:val="both"/>
        <w:rPr>
          <w:rFonts w:ascii="Times New Roman" w:hAnsi="Times New Roman"/>
          <w:sz w:val="24"/>
          <w:szCs w:val="24"/>
        </w:rPr>
      </w:pPr>
    </w:p>
    <w:p w14:paraId="45C08715" w14:textId="1AC5E0D8" w:rsidR="0067336B" w:rsidRDefault="007374D5" w:rsidP="007374D5">
      <w:pPr>
        <w:spacing w:after="0" w:line="240" w:lineRule="auto"/>
        <w:jc w:val="both"/>
        <w:rPr>
          <w:rFonts w:ascii="Times New Roman" w:hAnsi="Times New Roman"/>
          <w:sz w:val="24"/>
          <w:szCs w:val="24"/>
        </w:rPr>
      </w:pPr>
      <w:r>
        <w:rPr>
          <w:rFonts w:ascii="Times New Roman" w:hAnsi="Times New Roman"/>
          <w:sz w:val="24"/>
          <w:highlight w:val="cyan"/>
        </w:rPr>
        <w:t>[SAVANORIŠKOS VEIKLOS PROJEKTŲ ATVEJU:</w:t>
      </w:r>
    </w:p>
    <w:p w14:paraId="3DA5D40D" w14:textId="77777777" w:rsidR="0067336B" w:rsidRDefault="0067336B" w:rsidP="007374D5">
      <w:pPr>
        <w:spacing w:after="0" w:line="240" w:lineRule="auto"/>
        <w:jc w:val="both"/>
        <w:rPr>
          <w:rFonts w:ascii="Times New Roman" w:hAnsi="Times New Roman"/>
          <w:sz w:val="24"/>
          <w:szCs w:val="24"/>
        </w:rPr>
      </w:pPr>
    </w:p>
    <w:p w14:paraId="4733A880" w14:textId="515D6BF6" w:rsidR="007374D5" w:rsidRPr="0067336B" w:rsidRDefault="007374D5" w:rsidP="007374D5">
      <w:pPr>
        <w:spacing w:after="0" w:line="240" w:lineRule="auto"/>
        <w:jc w:val="both"/>
        <w:rPr>
          <w:rFonts w:ascii="Times New Roman" w:hAnsi="Times New Roman"/>
          <w:sz w:val="24"/>
          <w:szCs w:val="24"/>
        </w:rPr>
      </w:pPr>
      <w:r>
        <w:rPr>
          <w:rFonts w:ascii="Times New Roman" w:hAnsi="Times New Roman"/>
          <w:sz w:val="24"/>
        </w:rPr>
        <w:t>NA stebės, kaip įgyvendinamas vadovaujančios organizacijos kokybės ženklas, laikantis kvietime teikti pasiūlymus nustatytų taisyklių, kuriomis remiantis vadovaujančiai organizacijai buvo suteiktas tas kokybės ženklas.</w:t>
      </w:r>
    </w:p>
    <w:p w14:paraId="23D4021B" w14:textId="77777777" w:rsidR="007374D5" w:rsidRPr="0067336B" w:rsidRDefault="007374D5" w:rsidP="007374D5">
      <w:pPr>
        <w:spacing w:after="0" w:line="240" w:lineRule="auto"/>
        <w:jc w:val="both"/>
        <w:rPr>
          <w:rFonts w:ascii="Times New Roman" w:hAnsi="Times New Roman"/>
          <w:sz w:val="24"/>
        </w:rPr>
      </w:pPr>
    </w:p>
    <w:p w14:paraId="176183DA" w14:textId="6FB333F3" w:rsidR="007374D5" w:rsidRDefault="007374D5" w:rsidP="007374D5">
      <w:pPr>
        <w:spacing w:after="0" w:line="240" w:lineRule="auto"/>
        <w:jc w:val="both"/>
        <w:rPr>
          <w:rFonts w:ascii="Times New Roman" w:hAnsi="Times New Roman"/>
          <w:sz w:val="24"/>
          <w:szCs w:val="24"/>
        </w:rPr>
      </w:pPr>
      <w:r>
        <w:rPr>
          <w:rFonts w:ascii="Times New Roman" w:hAnsi="Times New Roman"/>
          <w:sz w:val="24"/>
        </w:rPr>
        <w:t>Jeigu vykdant stebėseną nustatoma trūkumų, NA pateiks rekomendacijų ir (arba) privalomų instrukcijų padėčiai pagerinti. Prireikus NA gali imtis papildomų taisomųjų priemonių, kaip nustatyta kvietime teikti pasiūlymus, pagal kurį vadovaujančiai organizacijai buvo suteiktas kokybės ženklas.]</w:t>
      </w:r>
    </w:p>
    <w:p w14:paraId="7E61338F" w14:textId="77F811F7" w:rsidR="007A4CF8" w:rsidRDefault="007A4CF8" w:rsidP="007374D5">
      <w:pPr>
        <w:spacing w:after="0" w:line="240" w:lineRule="auto"/>
        <w:jc w:val="both"/>
        <w:rPr>
          <w:rFonts w:ascii="Times New Roman" w:hAnsi="Times New Roman"/>
          <w:sz w:val="24"/>
          <w:szCs w:val="24"/>
        </w:rPr>
      </w:pPr>
    </w:p>
    <w:p w14:paraId="02D63056" w14:textId="673587D7" w:rsidR="007A4CF8" w:rsidRDefault="007A4CF8" w:rsidP="007374D5">
      <w:pPr>
        <w:spacing w:after="0" w:line="240" w:lineRule="auto"/>
        <w:jc w:val="both"/>
        <w:rPr>
          <w:rFonts w:ascii="Times New Roman" w:hAnsi="Times New Roman"/>
          <w:sz w:val="24"/>
          <w:szCs w:val="24"/>
        </w:rPr>
      </w:pPr>
      <w:r>
        <w:rPr>
          <w:rFonts w:ascii="Times New Roman" w:hAnsi="Times New Roman"/>
          <w:sz w:val="24"/>
        </w:rPr>
        <w:t>[</w:t>
      </w:r>
      <w:r>
        <w:rPr>
          <w:rFonts w:ascii="Times New Roman" w:hAnsi="Times New Roman"/>
          <w:sz w:val="24"/>
          <w:highlight w:val="cyan"/>
        </w:rPr>
        <w:t>SOLIDARUMO PROJEKTŲ ATVEJU</w:t>
      </w:r>
      <w:r>
        <w:rPr>
          <w:rFonts w:ascii="Times New Roman" w:hAnsi="Times New Roman"/>
          <w:sz w:val="24"/>
        </w:rPr>
        <w:t>: Netaikoma.</w:t>
      </w:r>
      <w:r>
        <w:rPr>
          <w:rFonts w:ascii="Times New Roman" w:hAnsi="Times New Roman"/>
          <w:sz w:val="24"/>
          <w:highlight w:val="cyan"/>
        </w:rPr>
        <w:t>]</w:t>
      </w:r>
    </w:p>
    <w:p w14:paraId="0BA9220B" w14:textId="77777777" w:rsidR="008C1450" w:rsidRDefault="008C1450" w:rsidP="007374D5">
      <w:pPr>
        <w:spacing w:after="0" w:line="240" w:lineRule="auto"/>
        <w:jc w:val="both"/>
        <w:rPr>
          <w:rFonts w:ascii="Times New Roman" w:hAnsi="Times New Roman"/>
          <w:sz w:val="24"/>
          <w:szCs w:val="24"/>
        </w:rPr>
      </w:pPr>
    </w:p>
    <w:p w14:paraId="432A735B" w14:textId="4E983835" w:rsidR="008C1450" w:rsidRDefault="008C1450" w:rsidP="007374D5">
      <w:pPr>
        <w:spacing w:after="0" w:line="240" w:lineRule="auto"/>
        <w:jc w:val="both"/>
        <w:rPr>
          <w:rFonts w:ascii="Times New Roman" w:hAnsi="Times New Roman"/>
          <w:sz w:val="24"/>
          <w:szCs w:val="24"/>
        </w:rPr>
      </w:pPr>
    </w:p>
    <w:p w14:paraId="10435F77" w14:textId="02FC3288" w:rsidR="008C1450" w:rsidRPr="006B4A58" w:rsidRDefault="008C1450" w:rsidP="00712B34">
      <w:pPr>
        <w:pStyle w:val="Heading1"/>
      </w:pPr>
      <w:bookmarkStart w:id="875" w:name="_Toc107578145"/>
      <w:r>
        <w:t>I.XX STRAIPSNIS. PAŽYMĖJIMAS „YOUTHPASS“, DALYVAVIMO PAŽYMĖJIMAS</w:t>
      </w:r>
      <w:bookmarkEnd w:id="875"/>
      <w:r>
        <w:t xml:space="preserve"> </w:t>
      </w:r>
    </w:p>
    <w:p w14:paraId="03B209E9" w14:textId="77777777" w:rsidR="008C1450" w:rsidRPr="003F7876" w:rsidRDefault="008C1450" w:rsidP="008C1450">
      <w:pPr>
        <w:suppressAutoHyphens w:val="0"/>
        <w:spacing w:after="0" w:line="240" w:lineRule="auto"/>
        <w:jc w:val="both"/>
        <w:rPr>
          <w:rFonts w:ascii="Times New Roman" w:hAnsi="Times New Roman"/>
          <w:sz w:val="24"/>
          <w:szCs w:val="24"/>
        </w:rPr>
      </w:pPr>
      <w:r>
        <w:rPr>
          <w:rFonts w:ascii="Times New Roman" w:hAnsi="Times New Roman"/>
          <w:b/>
          <w:sz w:val="24"/>
        </w:rPr>
        <w:t>I.XX.1</w:t>
      </w:r>
      <w:r>
        <w:tab/>
      </w:r>
      <w:r>
        <w:rPr>
          <w:rFonts w:ascii="Times New Roman" w:hAnsi="Times New Roman"/>
          <w:sz w:val="24"/>
        </w:rPr>
        <w:t xml:space="preserve">Gavėjas turi informuoti projekto dalyvius apie jų teisę į paramą per „Youthpass“ ir teisę gauti „Youthpass“ pažymėjimą.  </w:t>
      </w:r>
    </w:p>
    <w:p w14:paraId="6032F387" w14:textId="77777777" w:rsidR="008C1450" w:rsidRDefault="008C1450" w:rsidP="008C1450">
      <w:pPr>
        <w:suppressAutoHyphens w:val="0"/>
        <w:autoSpaceDE w:val="0"/>
        <w:autoSpaceDN w:val="0"/>
        <w:adjustRightInd w:val="0"/>
        <w:spacing w:after="0" w:line="240" w:lineRule="auto"/>
        <w:jc w:val="both"/>
        <w:rPr>
          <w:rFonts w:ascii="Times New Roman" w:hAnsi="Times New Roman"/>
          <w:sz w:val="24"/>
        </w:rPr>
      </w:pPr>
    </w:p>
    <w:p w14:paraId="1DB5719D" w14:textId="77777777" w:rsidR="008C1450" w:rsidRPr="00E6068C" w:rsidRDefault="008C1450" w:rsidP="008C1450">
      <w:pPr>
        <w:suppressAutoHyphens w:val="0"/>
        <w:autoSpaceDE w:val="0"/>
        <w:autoSpaceDN w:val="0"/>
        <w:adjustRightInd w:val="0"/>
        <w:spacing w:after="0" w:line="240" w:lineRule="auto"/>
        <w:jc w:val="both"/>
        <w:rPr>
          <w:rFonts w:ascii="Times New Roman" w:hAnsi="Times New Roman"/>
          <w:sz w:val="24"/>
        </w:rPr>
      </w:pPr>
      <w:r>
        <w:rPr>
          <w:rFonts w:ascii="Times New Roman" w:hAnsi="Times New Roman"/>
          <w:sz w:val="24"/>
          <w:highlight w:val="cyan"/>
        </w:rPr>
        <w:t>[SAVANORIŠKOS VEIKLOS PROJEKTŲ ATVEJU:</w:t>
      </w:r>
    </w:p>
    <w:p w14:paraId="54D45945" w14:textId="77777777" w:rsidR="008C1450" w:rsidRDefault="008C1450" w:rsidP="00830BA7">
      <w:pPr>
        <w:spacing w:after="120" w:line="240" w:lineRule="auto"/>
        <w:jc w:val="both"/>
        <w:rPr>
          <w:rFonts w:ascii="Times New Roman" w:hAnsi="Times New Roman"/>
          <w:sz w:val="24"/>
          <w:szCs w:val="24"/>
        </w:rPr>
      </w:pPr>
      <w:r>
        <w:rPr>
          <w:rFonts w:ascii="Times New Roman" w:hAnsi="Times New Roman"/>
          <w:b/>
          <w:sz w:val="24"/>
        </w:rPr>
        <w:t>I.XX.2</w:t>
      </w:r>
      <w:r>
        <w:tab/>
      </w:r>
      <w:r>
        <w:rPr>
          <w:rFonts w:ascii="Times New Roman" w:hAnsi="Times New Roman"/>
          <w:sz w:val="24"/>
        </w:rPr>
        <w:t>Gavėjas turėtų remti projekto dalyvių įgytos neformaliojo mokymosi patirties vertinimą ir privalo išduoti pažymėjimą „Youthpass“ individualiai kiekvienam dalyviui, kuris jo prašo veiklai pasibaigus.</w:t>
      </w:r>
      <w:r>
        <w:rPr>
          <w:rFonts w:ascii="Times New Roman" w:hAnsi="Times New Roman"/>
          <w:sz w:val="24"/>
          <w:highlight w:val="cyan"/>
        </w:rPr>
        <w:t>]</w:t>
      </w:r>
    </w:p>
    <w:p w14:paraId="71717F9C" w14:textId="77777777" w:rsidR="008C1450" w:rsidRPr="003F7876" w:rsidRDefault="008C1450" w:rsidP="008C1450">
      <w:pPr>
        <w:spacing w:after="0" w:line="240" w:lineRule="auto"/>
        <w:jc w:val="both"/>
        <w:rPr>
          <w:rFonts w:ascii="Times New Roman" w:hAnsi="Times New Roman"/>
          <w:sz w:val="24"/>
          <w:szCs w:val="24"/>
        </w:rPr>
      </w:pPr>
      <w:r>
        <w:rPr>
          <w:rFonts w:ascii="Times New Roman" w:hAnsi="Times New Roman"/>
          <w:sz w:val="24"/>
        </w:rPr>
        <w:t>I.XX.3 Nepažeidžiant pirmiau pateiktų nuostatų, veiklos pabaigoje gavėjas turi kiekvienam dalyviui išduoti dalyvavimo pažymėjimą.</w:t>
      </w:r>
    </w:p>
    <w:p w14:paraId="2A3971D1" w14:textId="77777777" w:rsidR="008C1450" w:rsidRPr="006236C7" w:rsidRDefault="008C1450" w:rsidP="008C1450">
      <w:pPr>
        <w:rPr>
          <w:rFonts w:ascii="Times New Roman" w:hAnsi="Times New Roman"/>
          <w:sz w:val="24"/>
          <w:szCs w:val="24"/>
        </w:rPr>
      </w:pPr>
      <w:r>
        <w:rPr>
          <w:rFonts w:ascii="Times New Roman" w:hAnsi="Times New Roman"/>
          <w:sz w:val="24"/>
        </w:rPr>
        <w:t xml:space="preserve"> </w:t>
      </w:r>
    </w:p>
    <w:p w14:paraId="5D2EA52C" w14:textId="0AE19412" w:rsidR="001051F7" w:rsidRPr="00480642" w:rsidRDefault="001051F7" w:rsidP="00712B34">
      <w:pPr>
        <w:pStyle w:val="Heading1"/>
      </w:pPr>
      <w:bookmarkStart w:id="876" w:name="_Toc107578146"/>
      <w:r>
        <w:t>I.XX STRAIPSNIS. BET KOKIOS PAPILDOMOS PAGAL NACIONALINĘ TEISĘ PRIVALOMOS NUOSTATOS</w:t>
      </w:r>
      <w:bookmarkEnd w:id="876"/>
    </w:p>
    <w:p w14:paraId="61070A2A" w14:textId="049FD80D" w:rsidR="72E7A03A" w:rsidRPr="006B4A58" w:rsidRDefault="001051F7" w:rsidP="006B4A58">
      <w:pPr>
        <w:spacing w:after="240" w:line="240" w:lineRule="auto"/>
        <w:jc w:val="both"/>
        <w:rPr>
          <w:rFonts w:ascii="Times New Roman" w:hAnsi="Times New Roman"/>
          <w:i/>
          <w:sz w:val="24"/>
          <w:szCs w:val="24"/>
        </w:rPr>
      </w:pPr>
      <w:r>
        <w:rPr>
          <w:rFonts w:ascii="Times New Roman" w:hAnsi="Times New Roman"/>
          <w:i/>
          <w:sz w:val="24"/>
        </w:rPr>
        <w:t>[</w:t>
      </w:r>
      <w:r>
        <w:rPr>
          <w:rFonts w:ascii="Times New Roman" w:hAnsi="Times New Roman"/>
          <w:i/>
          <w:sz w:val="24"/>
          <w:highlight w:val="lightGray"/>
        </w:rPr>
        <w:t>NA gali įtraukti bet kokią papildomą privalomą teisinę nuostatą, kurią reikalaujama taikyti pagal nacionalinę teisę, jeigu ta nuostata neprieštarauja šios dotacijos sutarties nuostatoms</w:t>
      </w:r>
      <w:r>
        <w:rPr>
          <w:rFonts w:ascii="Times New Roman" w:hAnsi="Times New Roman"/>
          <w:i/>
          <w:sz w:val="24"/>
        </w:rPr>
        <w:t>].</w:t>
      </w:r>
    </w:p>
    <w:p w14:paraId="60E4CD27" w14:textId="4501F314" w:rsidR="00F10621" w:rsidRPr="00480642" w:rsidRDefault="001337CD" w:rsidP="00712B34">
      <w:pPr>
        <w:pStyle w:val="Heading1"/>
      </w:pPr>
      <w:bookmarkStart w:id="877" w:name="_Toc72340606"/>
      <w:bookmarkStart w:id="878" w:name="_Toc72341111"/>
      <w:bookmarkStart w:id="879" w:name="_Toc72340607"/>
      <w:bookmarkStart w:id="880" w:name="_Toc72341112"/>
      <w:bookmarkStart w:id="881" w:name="_Toc72340608"/>
      <w:bookmarkStart w:id="882" w:name="_Toc72341113"/>
      <w:bookmarkStart w:id="883" w:name="_Toc72340609"/>
      <w:bookmarkStart w:id="884" w:name="_Toc72341114"/>
      <w:bookmarkStart w:id="885" w:name="_Toc107578147"/>
      <w:bookmarkEnd w:id="877"/>
      <w:bookmarkEnd w:id="878"/>
      <w:bookmarkEnd w:id="879"/>
      <w:bookmarkEnd w:id="880"/>
      <w:bookmarkEnd w:id="881"/>
      <w:bookmarkEnd w:id="882"/>
      <w:bookmarkEnd w:id="883"/>
      <w:bookmarkEnd w:id="884"/>
      <w:r>
        <w:t>I.XX STRAIPSNIS. SPECIALIOS I PRIEDO BENDRŲJŲ NUOSTATŲ IŠIMTYS</w:t>
      </w:r>
      <w:bookmarkEnd w:id="885"/>
    </w:p>
    <w:p w14:paraId="60E4CD28" w14:textId="6B889C42" w:rsidR="00F10621" w:rsidRPr="007D59C9" w:rsidRDefault="00F10621" w:rsidP="007D59C9">
      <w:pPr>
        <w:jc w:val="both"/>
        <w:rPr>
          <w:rFonts w:ascii="Times New Roman" w:hAnsi="Times New Roman"/>
          <w:sz w:val="24"/>
          <w:szCs w:val="24"/>
        </w:rPr>
      </w:pPr>
      <w:r>
        <w:rPr>
          <w:rFonts w:ascii="Times New Roman" w:hAnsi="Times New Roman"/>
          <w:sz w:val="24"/>
        </w:rPr>
        <w:t>Šios sutarties I priede „Bendrosios sąlygos“ vartojamą terminą „Komisija“ reikia suprasti kaip „NA“, o terminą „veikla“ – kaip „projektą“.</w:t>
      </w:r>
    </w:p>
    <w:p w14:paraId="08A52845" w14:textId="594C1DA3" w:rsidR="001051F7" w:rsidRPr="001051F7" w:rsidRDefault="001051F7" w:rsidP="003F7876">
      <w:pPr>
        <w:pStyle w:val="ListParagraph"/>
        <w:ind w:left="0"/>
        <w:jc w:val="both"/>
        <w:rPr>
          <w:rFonts w:ascii="Times New Roman" w:hAnsi="Times New Roman"/>
          <w:sz w:val="24"/>
          <w:szCs w:val="24"/>
        </w:rPr>
      </w:pPr>
      <w:r>
        <w:rPr>
          <w:rFonts w:ascii="Times New Roman" w:hAnsi="Times New Roman"/>
          <w:sz w:val="24"/>
        </w:rPr>
        <w:t xml:space="preserve">Šios sutarties I priede „Bendrosios sąlygos“ vartojamą terminą „finansinė ataskaita“ reikia suprasti kaip „biudžetui skirtą galutinės ataskaitos dalį“, nebent būtų nurodyta kitaip. </w:t>
      </w:r>
    </w:p>
    <w:p w14:paraId="4306A307" w14:textId="77777777" w:rsidR="001051F7" w:rsidRPr="003F7876" w:rsidRDefault="001051F7" w:rsidP="003F7876">
      <w:pPr>
        <w:pStyle w:val="ListParagraph"/>
        <w:ind w:left="0"/>
        <w:jc w:val="both"/>
        <w:rPr>
          <w:rFonts w:ascii="Times New Roman" w:hAnsi="Times New Roman"/>
          <w:sz w:val="24"/>
          <w:szCs w:val="24"/>
        </w:rPr>
      </w:pPr>
      <w:r>
        <w:rPr>
          <w:rFonts w:ascii="Times New Roman" w:hAnsi="Times New Roman"/>
          <w:sz w:val="24"/>
        </w:rPr>
        <w:t xml:space="preserve">Kai II.4.1 straipsnyje, II.8.2 straipsnyje, II.27.1 straipsnyje, II.27.3 straipsnyje, II.27.4 straipsnio pirmoje pastraipoje, II.27.8 straipsnio pirmoje pastraipoje ir II.27.9 straipsnyje minima „Komisija“, reikia suprasti, kad turima omenyje „NA ir Komisija“. </w:t>
      </w:r>
    </w:p>
    <w:p w14:paraId="7DED7E65" w14:textId="376B4720" w:rsidR="001051F7" w:rsidRPr="003F7876" w:rsidRDefault="001051F7" w:rsidP="003F7876">
      <w:pPr>
        <w:pStyle w:val="ListParagraph"/>
        <w:ind w:left="0"/>
        <w:jc w:val="both"/>
      </w:pPr>
      <w:r>
        <w:rPr>
          <w:rFonts w:ascii="Times New Roman" w:hAnsi="Times New Roman"/>
          <w:sz w:val="24"/>
        </w:rPr>
        <w:t>II.12 straipsnyje vartojamą terminą „finansinė parama“ reikia suprasti kaip „paramą“, o terminą „trečiosios šalys“ – kaip „dalyvius“.</w:t>
      </w:r>
    </w:p>
    <w:p w14:paraId="0D9977CB" w14:textId="469C18D8" w:rsidR="001051F7" w:rsidRPr="007D59C9" w:rsidRDefault="001051F7" w:rsidP="007D59C9">
      <w:pPr>
        <w:jc w:val="both"/>
      </w:pPr>
      <w:r>
        <w:rPr>
          <w:rFonts w:ascii="Times New Roman" w:hAnsi="Times New Roman"/>
          <w:sz w:val="24"/>
        </w:rPr>
        <w:t>Šios sutarties tikslais netaikomos šios I priedo „Bendrosios sąlygos“ dalys: II.2 straipsnio d punkto ii papunktis, II.12.2 straipsnis, II.13.4 straipsnis ir II.25.3 straipsnio a punkto ii papunktis.</w:t>
      </w:r>
    </w:p>
    <w:p w14:paraId="2B40EACB" w14:textId="77777777" w:rsidR="001051F7" w:rsidRPr="007D59C9" w:rsidRDefault="001051F7" w:rsidP="007D59C9">
      <w:pPr>
        <w:pStyle w:val="ListParagraph"/>
        <w:ind w:left="0"/>
        <w:jc w:val="both"/>
        <w:rPr>
          <w:rFonts w:ascii="Times New Roman" w:hAnsi="Times New Roman"/>
          <w:sz w:val="24"/>
          <w:szCs w:val="24"/>
        </w:rPr>
      </w:pPr>
      <w:r>
        <w:rPr>
          <w:rFonts w:ascii="Times New Roman" w:hAnsi="Times New Roman"/>
          <w:sz w:val="24"/>
        </w:rPr>
        <w:t>II.9.3 straipsnio antraštė ir pirmos dalies a punktas turi būti tokie:</w:t>
      </w:r>
    </w:p>
    <w:p w14:paraId="747C4692" w14:textId="77777777" w:rsidR="001051F7" w:rsidRPr="007D59C9" w:rsidRDefault="001051F7" w:rsidP="007D59C9">
      <w:pPr>
        <w:jc w:val="both"/>
        <w:rPr>
          <w:rFonts w:ascii="Times New Roman" w:hAnsi="Times New Roman"/>
          <w:b/>
          <w:bCs/>
          <w:sz w:val="24"/>
          <w:szCs w:val="24"/>
        </w:rPr>
      </w:pPr>
      <w:r>
        <w:rPr>
          <w:rFonts w:ascii="Times New Roman" w:hAnsi="Times New Roman"/>
          <w:b/>
          <w:sz w:val="24"/>
        </w:rPr>
        <w:t>„II.9.3</w:t>
      </w:r>
      <w:r>
        <w:tab/>
      </w:r>
      <w:r>
        <w:rPr>
          <w:rFonts w:ascii="Times New Roman" w:hAnsi="Times New Roman"/>
          <w:b/>
          <w:sz w:val="24"/>
        </w:rPr>
        <w:t>NA ir Sąjungos teisė naudotis rezultatais ir anksčiau įgytomis teisėmis</w:t>
      </w:r>
    </w:p>
    <w:p w14:paraId="5EAC48E9" w14:textId="77777777" w:rsidR="001051F7" w:rsidRPr="007D59C9" w:rsidRDefault="001051F7" w:rsidP="007D59C9">
      <w:pPr>
        <w:jc w:val="both"/>
        <w:rPr>
          <w:rFonts w:ascii="Times New Roman" w:hAnsi="Times New Roman"/>
          <w:i/>
          <w:iCs/>
          <w:sz w:val="24"/>
          <w:szCs w:val="24"/>
        </w:rPr>
      </w:pPr>
      <w:r>
        <w:rPr>
          <w:rFonts w:ascii="Times New Roman" w:hAnsi="Times New Roman"/>
          <w:sz w:val="24"/>
        </w:rPr>
        <w:t>Gavėjas suteikia NA ir Sąjungai šias teises naudotis projekto rezultatais:</w:t>
      </w:r>
    </w:p>
    <w:p w14:paraId="1275EA3D" w14:textId="77777777" w:rsidR="001051F7" w:rsidRPr="007D59C9" w:rsidRDefault="001051F7" w:rsidP="007D59C9">
      <w:pPr>
        <w:jc w:val="both"/>
        <w:rPr>
          <w:rFonts w:ascii="Times New Roman" w:hAnsi="Times New Roman"/>
          <w:sz w:val="24"/>
          <w:szCs w:val="24"/>
        </w:rPr>
      </w:pPr>
      <w:r>
        <w:rPr>
          <w:rFonts w:ascii="Times New Roman" w:hAnsi="Times New Roman"/>
          <w:sz w:val="24"/>
        </w:rPr>
        <w:lastRenderedPageBreak/>
        <w:t>a)</w:t>
      </w:r>
      <w:r>
        <w:tab/>
      </w:r>
      <w:r>
        <w:rPr>
          <w:rFonts w:ascii="Times New Roman" w:hAnsi="Times New Roman"/>
          <w:sz w:val="24"/>
        </w:rPr>
        <w:t>juos naudoti savo reikmėms, visų pirma juos pateikti asmenims, dirbantiems NA, Sąjungos institucijoms, agentūroms ir įstaigoms ir valstybių narių institucijoms, taip pat neribotai kopijuoti ir atgaminti juos visus arba jų dalį“.</w:t>
      </w:r>
    </w:p>
    <w:p w14:paraId="50A7E699" w14:textId="77777777" w:rsidR="001051F7" w:rsidRPr="007D59C9" w:rsidRDefault="001051F7" w:rsidP="007D59C9">
      <w:pPr>
        <w:jc w:val="both"/>
        <w:rPr>
          <w:rFonts w:ascii="Times New Roman" w:hAnsi="Times New Roman"/>
          <w:sz w:val="24"/>
          <w:szCs w:val="24"/>
        </w:rPr>
      </w:pPr>
      <w:r>
        <w:rPr>
          <w:rFonts w:ascii="Times New Roman" w:hAnsi="Times New Roman"/>
          <w:sz w:val="24"/>
        </w:rPr>
        <w:t>Likusioje šio straipsnio dalyje terminą „Sąjunga“ reikia suprasti kaip „NA ir (arba) Sąjunga“.</w:t>
      </w:r>
    </w:p>
    <w:p w14:paraId="15B34CCA" w14:textId="77777777" w:rsidR="001051F7" w:rsidRPr="007D59C9" w:rsidRDefault="001051F7" w:rsidP="007D59C9">
      <w:pPr>
        <w:jc w:val="both"/>
        <w:rPr>
          <w:rFonts w:ascii="Times New Roman" w:hAnsi="Times New Roman"/>
          <w:sz w:val="24"/>
          <w:szCs w:val="24"/>
        </w:rPr>
      </w:pPr>
      <w:r>
        <w:rPr>
          <w:rFonts w:ascii="Times New Roman" w:hAnsi="Times New Roman"/>
          <w:sz w:val="24"/>
        </w:rPr>
        <w:t>II.10.1 straipsnio antra dalis turi būti tokia:</w:t>
      </w:r>
    </w:p>
    <w:p w14:paraId="1A95A186" w14:textId="77777777" w:rsidR="001051F7" w:rsidRPr="007D59C9" w:rsidRDefault="001051F7" w:rsidP="007D59C9">
      <w:pPr>
        <w:jc w:val="both"/>
        <w:rPr>
          <w:rFonts w:ascii="Times New Roman" w:hAnsi="Times New Roman"/>
          <w:sz w:val="24"/>
          <w:szCs w:val="24"/>
        </w:rPr>
      </w:pPr>
      <w:r>
        <w:rPr>
          <w:rFonts w:ascii="Times New Roman" w:hAnsi="Times New Roman"/>
          <w:sz w:val="24"/>
        </w:rPr>
        <w:t>„Gavėjas turi užtikrinti, kad NA, Komisija, Europos Audito Rūmai ir Europos kovos su sukčiavimu tarnyba (OLAF) galėtų naudotis II.27 straipsnyje nustatytomis savo teisėmis gavėjo rangovų atžvilgiu.“</w:t>
      </w:r>
    </w:p>
    <w:p w14:paraId="061F68F2" w14:textId="77777777" w:rsidR="001051F7" w:rsidRPr="007D59C9" w:rsidRDefault="001051F7" w:rsidP="007D59C9">
      <w:pPr>
        <w:spacing w:before="100" w:beforeAutospacing="1" w:after="100" w:afterAutospacing="1" w:line="240" w:lineRule="auto"/>
        <w:jc w:val="both"/>
        <w:rPr>
          <w:rFonts w:ascii="Times New Roman" w:hAnsi="Times New Roman"/>
          <w:sz w:val="24"/>
          <w:szCs w:val="24"/>
        </w:rPr>
      </w:pPr>
      <w:r>
        <w:rPr>
          <w:rFonts w:ascii="Times New Roman" w:hAnsi="Times New Roman"/>
          <w:sz w:val="24"/>
        </w:rPr>
        <w:t>II.18 straipsnis turi būti toks:</w:t>
      </w:r>
    </w:p>
    <w:p w14:paraId="7E09B02D" w14:textId="0EFD3DEE" w:rsidR="001051F7" w:rsidRPr="007D59C9" w:rsidRDefault="001051F7" w:rsidP="007D59C9">
      <w:pPr>
        <w:tabs>
          <w:tab w:val="left" w:pos="1701"/>
        </w:tabs>
        <w:spacing w:before="100" w:beforeAutospacing="1" w:after="100" w:afterAutospacing="1" w:line="240" w:lineRule="auto"/>
        <w:jc w:val="both"/>
        <w:rPr>
          <w:rFonts w:ascii="Times New Roman" w:hAnsi="Times New Roman"/>
          <w:sz w:val="24"/>
          <w:szCs w:val="24"/>
        </w:rPr>
      </w:pPr>
      <w:r>
        <w:rPr>
          <w:rFonts w:ascii="Times New Roman" w:hAnsi="Times New Roman"/>
          <w:sz w:val="24"/>
        </w:rPr>
        <w:t>„</w:t>
      </w:r>
      <w:r>
        <w:rPr>
          <w:rFonts w:ascii="Times New Roman" w:hAnsi="Times New Roman"/>
          <w:b/>
          <w:bCs/>
          <w:sz w:val="24"/>
        </w:rPr>
        <w:t>II.18.1</w:t>
      </w:r>
      <w:r>
        <w:rPr>
          <w:rFonts w:ascii="Times New Roman" w:hAnsi="Times New Roman"/>
          <w:sz w:val="24"/>
        </w:rPr>
        <w:t xml:space="preserve"> Sutartis reglamentuojama pagal taikytiną Sąjungos teisę, kurią prireikus papildo teisė [</w:t>
      </w:r>
      <w:r>
        <w:rPr>
          <w:rFonts w:ascii="Times New Roman" w:hAnsi="Times New Roman"/>
          <w:i/>
          <w:sz w:val="24"/>
          <w:highlight w:val="lightGray"/>
        </w:rPr>
        <w:t>įrašyti NA valstybės nacionalinės teisės aktą</w:t>
      </w:r>
      <w:r>
        <w:rPr>
          <w:rFonts w:ascii="Times New Roman" w:hAnsi="Times New Roman"/>
          <w:sz w:val="24"/>
        </w:rPr>
        <w:t>].</w:t>
      </w:r>
    </w:p>
    <w:p w14:paraId="54B8AB41" w14:textId="70DECE92" w:rsidR="001051F7" w:rsidRPr="007D59C9" w:rsidRDefault="001051F7" w:rsidP="007D59C9">
      <w:pPr>
        <w:spacing w:before="100" w:beforeAutospacing="1" w:after="100" w:afterAutospacing="1" w:line="240" w:lineRule="auto"/>
        <w:jc w:val="both"/>
        <w:rPr>
          <w:rFonts w:ascii="Times New Roman" w:hAnsi="Times New Roman"/>
          <w:sz w:val="24"/>
          <w:szCs w:val="24"/>
        </w:rPr>
      </w:pPr>
      <w:r>
        <w:rPr>
          <w:rFonts w:ascii="Times New Roman" w:hAnsi="Times New Roman"/>
          <w:b/>
          <w:bCs/>
          <w:sz w:val="24"/>
        </w:rPr>
        <w:t>II.18.2</w:t>
      </w:r>
      <w:r>
        <w:rPr>
          <w:rFonts w:ascii="Times New Roman" w:hAnsi="Times New Roman"/>
          <w:sz w:val="24"/>
        </w:rPr>
        <w:t xml:space="preserve"> Pagal taikytiną nacionalinę teisę nustatytas kompetentingas teismas turi išimtinę jurisdikciją nagrinėti bet kokį NA ir gavėjo ginčą dėl Sutarties aiškinimo, taikymo ar galiojimo, jei tokio ginčo neįmanoma išspręsti taikiai.</w:t>
      </w:r>
    </w:p>
    <w:p w14:paraId="4B8EAEA9" w14:textId="77777777" w:rsidR="001051F7" w:rsidRPr="007D59C9" w:rsidRDefault="001051F7" w:rsidP="007D59C9">
      <w:pPr>
        <w:spacing w:before="100" w:beforeAutospacing="1" w:after="100" w:afterAutospacing="1" w:line="240" w:lineRule="auto"/>
        <w:jc w:val="both"/>
        <w:rPr>
          <w:rFonts w:ascii="Times New Roman" w:hAnsi="Times New Roman"/>
          <w:sz w:val="24"/>
          <w:szCs w:val="24"/>
        </w:rPr>
      </w:pPr>
      <w:r>
        <w:rPr>
          <w:rFonts w:ascii="Times New Roman" w:hAnsi="Times New Roman"/>
          <w:sz w:val="24"/>
        </w:rPr>
        <w:t>[</w:t>
      </w:r>
      <w:r>
        <w:rPr>
          <w:rFonts w:ascii="Times New Roman" w:hAnsi="Times New Roman"/>
          <w:i/>
          <w:iCs/>
          <w:sz w:val="24"/>
        </w:rPr>
        <w:t>Skirta toms NA, kurios skelbia aktus, laikomus administraciniais aktais pagal nacionalinę teisę</w:t>
      </w:r>
      <w:r>
        <w:rPr>
          <w:rFonts w:ascii="Times New Roman" w:hAnsi="Times New Roman"/>
          <w:sz w:val="24"/>
        </w:rPr>
        <w:t>:] Dėl NA akto gali būti pateiktas ieškinys iki [</w:t>
      </w:r>
      <w:r>
        <w:rPr>
          <w:rFonts w:ascii="Times New Roman" w:hAnsi="Times New Roman"/>
          <w:sz w:val="24"/>
          <w:highlight w:val="lightGray"/>
        </w:rPr>
        <w:t>nurodyti galutinį terminą pagal nacionalinę teisę]</w:t>
      </w:r>
      <w:r>
        <w:rPr>
          <w:rFonts w:ascii="Times New Roman" w:hAnsi="Times New Roman"/>
          <w:sz w:val="24"/>
        </w:rPr>
        <w:t xml:space="preserve"> [</w:t>
      </w:r>
      <w:r>
        <w:rPr>
          <w:rFonts w:ascii="Times New Roman" w:hAnsi="Times New Roman"/>
          <w:sz w:val="24"/>
          <w:highlight w:val="lightGray"/>
        </w:rPr>
        <w:t>įrašyti nuorodą į kompetentingą nacionalinį teismą</w:t>
      </w:r>
      <w:r>
        <w:rPr>
          <w:rFonts w:ascii="Times New Roman" w:hAnsi="Times New Roman"/>
          <w:sz w:val="24"/>
        </w:rPr>
        <w:t>] pagal [įrašyti nuorodą į atitinkamas nacionalinės teisės nuostatas].“</w:t>
      </w:r>
    </w:p>
    <w:p w14:paraId="62B7AD45" w14:textId="0DF1B48C" w:rsidR="001051F7" w:rsidRPr="007D59C9" w:rsidRDefault="001051F7" w:rsidP="007D59C9">
      <w:pPr>
        <w:jc w:val="both"/>
        <w:rPr>
          <w:rFonts w:ascii="Times New Roman" w:hAnsi="Times New Roman"/>
          <w:sz w:val="24"/>
          <w:szCs w:val="24"/>
        </w:rPr>
      </w:pPr>
      <w:r>
        <w:rPr>
          <w:rFonts w:ascii="Times New Roman" w:hAnsi="Times New Roman"/>
          <w:sz w:val="24"/>
        </w:rPr>
        <w:t>Kalbant apie II.19.1 straipsnį: išlaidų tinkamumo finansuoti sąlygos yra papildomos III priedo I.1 ir II.1 skirsniuose.“</w:t>
      </w:r>
    </w:p>
    <w:p w14:paraId="7694E502" w14:textId="455F4C6B" w:rsidR="001051F7" w:rsidRPr="007D59C9" w:rsidRDefault="001051F7" w:rsidP="007D59C9">
      <w:pPr>
        <w:jc w:val="both"/>
        <w:rPr>
          <w:rFonts w:ascii="Times New Roman" w:hAnsi="Times New Roman"/>
          <w:sz w:val="24"/>
          <w:szCs w:val="24"/>
        </w:rPr>
      </w:pPr>
      <w:r>
        <w:rPr>
          <w:rFonts w:ascii="Times New Roman" w:hAnsi="Times New Roman"/>
          <w:sz w:val="24"/>
        </w:rPr>
        <w:t>Kalbant apie II.20 straipsnį: galimybės nustatyti ir patikrinti deklaruotas sumas sąlygos yra papildomos III priedo I.2 ir II.2 skirsniuose.“</w:t>
      </w:r>
    </w:p>
    <w:p w14:paraId="21F41134" w14:textId="77777777" w:rsidR="001051F7" w:rsidRPr="007D59C9" w:rsidRDefault="001051F7" w:rsidP="007D59C9">
      <w:pPr>
        <w:jc w:val="both"/>
        <w:rPr>
          <w:rFonts w:ascii="Times New Roman" w:hAnsi="Times New Roman"/>
          <w:sz w:val="24"/>
          <w:szCs w:val="24"/>
        </w:rPr>
      </w:pPr>
      <w:r>
        <w:rPr>
          <w:rFonts w:ascii="Times New Roman" w:hAnsi="Times New Roman"/>
          <w:sz w:val="24"/>
        </w:rPr>
        <w:t>II.23 straipsnio b punktas turi būti toks:</w:t>
      </w:r>
    </w:p>
    <w:p w14:paraId="585AAA05" w14:textId="40F6DCAF" w:rsidR="001051F7" w:rsidRPr="005C6DEC" w:rsidRDefault="001051F7" w:rsidP="005C6DEC">
      <w:pPr>
        <w:spacing w:after="0"/>
        <w:jc w:val="both"/>
        <w:rPr>
          <w:rFonts w:ascii="Times New Roman" w:hAnsi="Times New Roman"/>
          <w:sz w:val="24"/>
          <w:szCs w:val="24"/>
        </w:rPr>
      </w:pPr>
      <w:r>
        <w:rPr>
          <w:rFonts w:ascii="Times New Roman" w:hAnsi="Times New Roman"/>
          <w:sz w:val="24"/>
        </w:rPr>
        <w:t>„b) tokio prašymo nepateikia ir per 30 papildomų kalendorinių dienų po NA atsiųsto raštiško priminimo.“</w:t>
      </w:r>
    </w:p>
    <w:p w14:paraId="654D381F" w14:textId="77777777" w:rsidR="001051F7" w:rsidRPr="00712B34" w:rsidRDefault="001051F7" w:rsidP="003F7876">
      <w:pPr>
        <w:pStyle w:val="ListParagraph"/>
        <w:spacing w:after="0"/>
        <w:ind w:left="360"/>
        <w:jc w:val="both"/>
        <w:rPr>
          <w:rFonts w:ascii="Times New Roman" w:hAnsi="Times New Roman"/>
          <w:sz w:val="24"/>
          <w:szCs w:val="24"/>
        </w:rPr>
      </w:pPr>
    </w:p>
    <w:p w14:paraId="687AA228" w14:textId="77777777" w:rsidR="001051F7" w:rsidRPr="007D59C9" w:rsidRDefault="001051F7" w:rsidP="007D59C9">
      <w:pPr>
        <w:jc w:val="both"/>
        <w:rPr>
          <w:rFonts w:ascii="Times New Roman" w:hAnsi="Times New Roman"/>
          <w:sz w:val="24"/>
          <w:szCs w:val="24"/>
        </w:rPr>
      </w:pPr>
      <w:r>
        <w:rPr>
          <w:rFonts w:ascii="Times New Roman" w:hAnsi="Times New Roman"/>
          <w:sz w:val="24"/>
        </w:rPr>
        <w:t>II.24.1.3 straipsnio pirma pastraipa turi būti tokia:</w:t>
      </w:r>
    </w:p>
    <w:p w14:paraId="43ABCF11" w14:textId="77777777" w:rsidR="001051F7" w:rsidRPr="007D59C9" w:rsidRDefault="001051F7" w:rsidP="007D59C9">
      <w:pPr>
        <w:jc w:val="both"/>
        <w:rPr>
          <w:rFonts w:ascii="Times New Roman" w:hAnsi="Times New Roman"/>
          <w:sz w:val="24"/>
          <w:szCs w:val="24"/>
        </w:rPr>
      </w:pPr>
      <w:r>
        <w:rPr>
          <w:rFonts w:ascii="Times New Roman" w:hAnsi="Times New Roman"/>
          <w:sz w:val="24"/>
        </w:rPr>
        <w:t>„Mokėjimų sustabdymo laikotarpiu gavėjas neturi teisės pateikti jokių prašymų atlikti mokėjimus ir patvirtinamųjų dokumentų, nurodytų I.4.3 ir I.4.4 straipsniuose.“</w:t>
      </w:r>
    </w:p>
    <w:p w14:paraId="02DCB55A" w14:textId="1385D496" w:rsidR="001051F7" w:rsidRPr="007D59C9" w:rsidRDefault="001051F7" w:rsidP="007D59C9">
      <w:pPr>
        <w:spacing w:after="0"/>
        <w:jc w:val="both"/>
        <w:rPr>
          <w:rFonts w:ascii="Times New Roman" w:hAnsi="Times New Roman"/>
          <w:sz w:val="24"/>
          <w:szCs w:val="24"/>
        </w:rPr>
      </w:pPr>
      <w:r>
        <w:rPr>
          <w:rFonts w:ascii="Times New Roman" w:hAnsi="Times New Roman"/>
          <w:sz w:val="24"/>
        </w:rPr>
        <w:t>Kalbant apie II.25.4 straipsnį: sumos sumažinimo dėl netinkamo įgyvendinimo, pažeidimų, sukčiavimo ar kitų pareigų nevykdymo sąlygos papildomos III priedo IV skirsnyje.</w:t>
      </w:r>
    </w:p>
    <w:p w14:paraId="1039477A" w14:textId="77777777" w:rsidR="001051F7" w:rsidRPr="00712B34" w:rsidRDefault="001051F7" w:rsidP="003F7876">
      <w:pPr>
        <w:pStyle w:val="ListParagraph"/>
        <w:spacing w:after="0"/>
        <w:ind w:left="360"/>
        <w:jc w:val="both"/>
        <w:rPr>
          <w:rFonts w:ascii="Times New Roman" w:hAnsi="Times New Roman"/>
          <w:sz w:val="24"/>
          <w:szCs w:val="24"/>
        </w:rPr>
      </w:pPr>
    </w:p>
    <w:p w14:paraId="445C7E5D" w14:textId="77777777" w:rsidR="001051F7" w:rsidRPr="007D59C9" w:rsidRDefault="001051F7" w:rsidP="007D59C9">
      <w:pPr>
        <w:jc w:val="both"/>
        <w:rPr>
          <w:rFonts w:ascii="Times New Roman" w:hAnsi="Times New Roman"/>
          <w:sz w:val="24"/>
          <w:szCs w:val="24"/>
        </w:rPr>
      </w:pPr>
      <w:r>
        <w:rPr>
          <w:rFonts w:ascii="Times New Roman" w:hAnsi="Times New Roman"/>
          <w:sz w:val="24"/>
        </w:rPr>
        <w:t>II.26.2 straipsnio trečia pastraipa turi būti tokia:</w:t>
      </w:r>
    </w:p>
    <w:p w14:paraId="2B689BD7" w14:textId="77777777" w:rsidR="001051F7" w:rsidRPr="007D59C9" w:rsidRDefault="001051F7" w:rsidP="007D59C9">
      <w:pPr>
        <w:jc w:val="both"/>
        <w:rPr>
          <w:rFonts w:ascii="Times New Roman" w:hAnsi="Times New Roman"/>
          <w:sz w:val="24"/>
          <w:szCs w:val="24"/>
        </w:rPr>
      </w:pPr>
      <w:r>
        <w:rPr>
          <w:rFonts w:ascii="Times New Roman" w:hAnsi="Times New Roman"/>
          <w:sz w:val="24"/>
        </w:rPr>
        <w:lastRenderedPageBreak/>
        <w:t>„</w:t>
      </w:r>
      <w:r>
        <w:rPr>
          <w:rFonts w:ascii="Times New Roman" w:hAnsi="Times New Roman"/>
          <w:color w:val="000000"/>
          <w:sz w:val="24"/>
        </w:rPr>
        <w:t xml:space="preserve">Jeigu mokėjimas neatliktas iki debetiniame dokumente nustatytos dienos, </w:t>
      </w:r>
      <w:r>
        <w:rPr>
          <w:rFonts w:ascii="Times New Roman" w:hAnsi="Times New Roman"/>
          <w:sz w:val="24"/>
        </w:rPr>
        <w:t>NA susigrąžina mokėtiną sumą:</w:t>
      </w:r>
    </w:p>
    <w:p w14:paraId="4F53F740" w14:textId="1BC6CA6A" w:rsidR="001051F7" w:rsidRDefault="001051F7" w:rsidP="003F7876">
      <w:pPr>
        <w:pStyle w:val="ListParagraph"/>
        <w:numPr>
          <w:ilvl w:val="0"/>
          <w:numId w:val="115"/>
        </w:numPr>
        <w:jc w:val="both"/>
        <w:rPr>
          <w:rFonts w:ascii="Times New Roman" w:hAnsi="Times New Roman"/>
          <w:sz w:val="24"/>
          <w:szCs w:val="24"/>
        </w:rPr>
      </w:pPr>
      <w:r>
        <w:rPr>
          <w:rFonts w:ascii="Times New Roman" w:hAnsi="Times New Roman"/>
          <w:sz w:val="24"/>
        </w:rPr>
        <w:t>[...] Dėl tokio įskaitymo galima pateikti ieškinį II.18.2 straipsnyje nustatytam kompetentingam teismui;</w:t>
      </w:r>
    </w:p>
    <w:p w14:paraId="1C2BDDAE" w14:textId="4C4D5F75" w:rsidR="001051F7" w:rsidRPr="003F7876" w:rsidRDefault="001051F7" w:rsidP="003F7876">
      <w:pPr>
        <w:pStyle w:val="ListParagraph"/>
        <w:ind w:left="735"/>
        <w:jc w:val="both"/>
        <w:rPr>
          <w:rFonts w:ascii="Times New Roman" w:hAnsi="Times New Roman"/>
          <w:sz w:val="24"/>
          <w:szCs w:val="24"/>
        </w:rPr>
      </w:pPr>
      <w:r>
        <w:rPr>
          <w:rFonts w:ascii="Times New Roman" w:hAnsi="Times New Roman"/>
          <w:sz w:val="24"/>
        </w:rPr>
        <w:t>[…]</w:t>
      </w:r>
    </w:p>
    <w:p w14:paraId="59E41AC6" w14:textId="77777777" w:rsidR="001051F7" w:rsidRPr="003F7876" w:rsidRDefault="001051F7" w:rsidP="003F7876">
      <w:pPr>
        <w:pStyle w:val="ListParagraph"/>
        <w:suppressAutoHyphens w:val="0"/>
        <w:spacing w:before="100" w:beforeAutospacing="1" w:after="100" w:afterAutospacing="1" w:line="240" w:lineRule="auto"/>
        <w:ind w:left="360"/>
        <w:jc w:val="both"/>
        <w:rPr>
          <w:rFonts w:ascii="Times New Roman" w:hAnsi="Times New Roman"/>
          <w:sz w:val="24"/>
          <w:szCs w:val="24"/>
        </w:rPr>
      </w:pPr>
      <w:r>
        <w:rPr>
          <w:rFonts w:ascii="Times New Roman" w:hAnsi="Times New Roman"/>
          <w:sz w:val="24"/>
        </w:rPr>
        <w:t>c) imdamasi teisinių veiksmų, kaip numatyta II.18.2 straipsnyje arba specialiosiose sąlygose.“</w:t>
      </w:r>
    </w:p>
    <w:p w14:paraId="3E562E29" w14:textId="77777777" w:rsidR="001051F7" w:rsidRPr="007D59C9" w:rsidRDefault="001051F7" w:rsidP="007D59C9">
      <w:pPr>
        <w:jc w:val="both"/>
        <w:rPr>
          <w:rFonts w:ascii="Times New Roman" w:hAnsi="Times New Roman"/>
          <w:sz w:val="24"/>
          <w:szCs w:val="24"/>
        </w:rPr>
      </w:pPr>
      <w:r>
        <w:rPr>
          <w:rFonts w:ascii="Times New Roman" w:hAnsi="Times New Roman"/>
          <w:sz w:val="24"/>
        </w:rPr>
        <w:t>II.27.2 straipsnis turi būti toks:</w:t>
      </w:r>
    </w:p>
    <w:p w14:paraId="60E4CD5E" w14:textId="1C5AC8C9" w:rsidR="00F10621" w:rsidRPr="007D59C9" w:rsidRDefault="001051F7" w:rsidP="007D59C9">
      <w:pPr>
        <w:jc w:val="both"/>
      </w:pPr>
      <w:r>
        <w:rPr>
          <w:rFonts w:ascii="Times New Roman" w:hAnsi="Times New Roman"/>
          <w:sz w:val="24"/>
        </w:rPr>
        <w:t>„[...] Pirmoje ir antroje pastraipose nustatyti laikotarpiai yra ilgesni, jeigu ilgesnio laikotarpio reikalaujama pagal nacionalinę teisę arba jeigu tebevyksta su dotacija susijęs auditas ar apeliacinių skundų, ginčų arba ieškinių nagrinėjimas, įskaitant II.27.7 straipsnyje nurodytus atvejus. Pastaraisiais atvejais gavėjas turi saugoti dokumentus iki tokio audito, apeliacinių skundų, ginčų arba ieškinių nagrinėjimo pabaigos.“</w:t>
      </w:r>
    </w:p>
    <w:p w14:paraId="60E4CD64" w14:textId="77777777" w:rsidR="00F10621" w:rsidRPr="00480642" w:rsidRDefault="00F10621" w:rsidP="00F10621">
      <w:pPr>
        <w:spacing w:after="0" w:line="240" w:lineRule="auto"/>
        <w:jc w:val="both"/>
        <w:rPr>
          <w:rFonts w:ascii="Times New Roman" w:hAnsi="Times New Roman"/>
          <w:sz w:val="24"/>
          <w:szCs w:val="24"/>
        </w:rPr>
      </w:pPr>
    </w:p>
    <w:p w14:paraId="60E4CD65" w14:textId="77777777" w:rsidR="00F10621" w:rsidRPr="00480642" w:rsidRDefault="00F10621" w:rsidP="00F10621">
      <w:pPr>
        <w:spacing w:after="0" w:line="240" w:lineRule="auto"/>
        <w:jc w:val="both"/>
        <w:rPr>
          <w:rFonts w:ascii="Times New Roman" w:hAnsi="Times New Roman"/>
          <w:sz w:val="24"/>
          <w:szCs w:val="24"/>
        </w:rPr>
      </w:pPr>
    </w:p>
    <w:p w14:paraId="60E4CD66" w14:textId="77777777" w:rsidR="00F10621" w:rsidRPr="00480642" w:rsidRDefault="00F10621" w:rsidP="00F10621">
      <w:pPr>
        <w:spacing w:after="0" w:line="240" w:lineRule="auto"/>
        <w:jc w:val="both"/>
        <w:rPr>
          <w:rFonts w:ascii="Times New Roman" w:eastAsia="Times New Roman" w:hAnsi="Times New Roman"/>
          <w:sz w:val="24"/>
          <w:szCs w:val="24"/>
        </w:rPr>
      </w:pPr>
      <w:r>
        <w:rPr>
          <w:rFonts w:ascii="Times New Roman" w:hAnsi="Times New Roman"/>
          <w:sz w:val="24"/>
        </w:rPr>
        <w:t>PARAŠAI</w:t>
      </w:r>
    </w:p>
    <w:p w14:paraId="60E4CD67" w14:textId="605A64C0" w:rsidR="00F10621" w:rsidRPr="00480642" w:rsidRDefault="00F10621" w:rsidP="00F10621">
      <w:pPr>
        <w:spacing w:after="240" w:line="240" w:lineRule="auto"/>
        <w:rPr>
          <w:rFonts w:ascii="Times New Roman" w:eastAsia="Times New Roman" w:hAnsi="Times New Roman"/>
          <w:sz w:val="24"/>
          <w:szCs w:val="24"/>
        </w:rPr>
      </w:pPr>
      <w:r>
        <w:tab/>
        <w:t xml:space="preserve"> </w:t>
      </w:r>
      <w:r>
        <w:br/>
      </w:r>
      <w:r>
        <w:rPr>
          <w:rFonts w:ascii="Times New Roman" w:hAnsi="Times New Roman"/>
          <w:sz w:val="24"/>
        </w:rPr>
        <w:t>Gavėjo vardu</w:t>
      </w:r>
      <w:r>
        <w:tab/>
      </w:r>
      <w:r>
        <w:tab/>
      </w:r>
      <w:r>
        <w:tab/>
      </w:r>
      <w:r>
        <w:rPr>
          <w:rFonts w:ascii="Times New Roman" w:hAnsi="Times New Roman"/>
          <w:sz w:val="24"/>
        </w:rPr>
        <w:t xml:space="preserve">                         </w:t>
      </w:r>
      <w:r w:rsidR="003C6F4D">
        <w:rPr>
          <w:rFonts w:ascii="Times New Roman" w:hAnsi="Times New Roman"/>
          <w:sz w:val="24"/>
        </w:rPr>
        <w:tab/>
        <w:t xml:space="preserve"> </w:t>
      </w:r>
      <w:bookmarkStart w:id="886" w:name="_GoBack"/>
      <w:bookmarkEnd w:id="886"/>
      <w:r>
        <w:rPr>
          <w:rFonts w:ascii="Times New Roman" w:hAnsi="Times New Roman"/>
          <w:sz w:val="24"/>
        </w:rPr>
        <w:t>NA vardu</w:t>
      </w:r>
      <w:r>
        <w:t xml:space="preserve"> </w:t>
      </w:r>
      <w:r>
        <w:br/>
      </w:r>
      <w:r>
        <w:rPr>
          <w:rFonts w:ascii="Times New Roman" w:hAnsi="Times New Roman"/>
          <w:sz w:val="24"/>
        </w:rPr>
        <w:t>[</w:t>
      </w:r>
      <w:r>
        <w:rPr>
          <w:rFonts w:ascii="Times New Roman" w:hAnsi="Times New Roman"/>
          <w:i/>
          <w:sz w:val="24"/>
        </w:rPr>
        <w:t>pareigos</w:t>
      </w:r>
      <w:r>
        <w:rPr>
          <w:rFonts w:ascii="Times New Roman" w:hAnsi="Times New Roman"/>
          <w:sz w:val="24"/>
        </w:rPr>
        <w:t>, vardas ir pavardė]</w:t>
      </w:r>
      <w:r>
        <w:tab/>
      </w:r>
      <w:r>
        <w:tab/>
      </w:r>
      <w:r>
        <w:rPr>
          <w:rFonts w:ascii="Times New Roman" w:hAnsi="Times New Roman"/>
          <w:sz w:val="24"/>
        </w:rPr>
        <w:t xml:space="preserve">                         [vardas ir pavardė]</w:t>
      </w:r>
    </w:p>
    <w:p w14:paraId="60E4CD68" w14:textId="77777777" w:rsidR="00DD1A61" w:rsidRPr="008E5D27" w:rsidRDefault="00F10621" w:rsidP="00FC5E35">
      <w:pPr>
        <w:tabs>
          <w:tab w:val="left" w:pos="5103"/>
        </w:tabs>
        <w:spacing w:before="1200" w:after="0" w:line="240" w:lineRule="auto"/>
        <w:rPr>
          <w:rFonts w:ascii="Times New Roman" w:hAnsi="Times New Roman"/>
        </w:rPr>
      </w:pPr>
      <w:r>
        <w:rPr>
          <w:rFonts w:ascii="Times New Roman" w:hAnsi="Times New Roman"/>
          <w:sz w:val="24"/>
        </w:rPr>
        <w:t>[parašas]</w:t>
      </w:r>
      <w:r>
        <w:tab/>
      </w:r>
      <w:r>
        <w:rPr>
          <w:rFonts w:ascii="Times New Roman" w:hAnsi="Times New Roman"/>
          <w:sz w:val="24"/>
        </w:rPr>
        <w:t>[parašas]</w:t>
      </w:r>
      <w:r>
        <w:t xml:space="preserve"> </w:t>
      </w:r>
      <w:r>
        <w:br/>
      </w:r>
      <w:r>
        <w:rPr>
          <w:rFonts w:ascii="Times New Roman" w:hAnsi="Times New Roman"/>
          <w:sz w:val="24"/>
        </w:rPr>
        <w:t>Sudaryta [vieta] [data]</w:t>
      </w:r>
      <w:r>
        <w:tab/>
      </w:r>
      <w:r>
        <w:rPr>
          <w:rFonts w:ascii="Times New Roman" w:hAnsi="Times New Roman"/>
          <w:sz w:val="24"/>
        </w:rPr>
        <w:t>Sudaryta [vieta] [data]</w:t>
      </w:r>
    </w:p>
    <w:sectPr w:rsidR="00DD1A61" w:rsidRPr="008E5D27" w:rsidSect="00317953">
      <w:footerReference w:type="default" r:id="rId21"/>
      <w:footerReference w:type="first" r:id="rId2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EA3B1" w14:textId="77777777" w:rsidR="00712B34" w:rsidRDefault="00712B34" w:rsidP="00F10621">
      <w:pPr>
        <w:spacing w:after="0" w:line="240" w:lineRule="auto"/>
      </w:pPr>
      <w:r>
        <w:separator/>
      </w:r>
    </w:p>
  </w:endnote>
  <w:endnote w:type="continuationSeparator" w:id="0">
    <w:p w14:paraId="629D6AE5" w14:textId="77777777" w:rsidR="00712B34" w:rsidRDefault="00712B34" w:rsidP="00F10621">
      <w:pPr>
        <w:spacing w:after="0" w:line="240" w:lineRule="auto"/>
      </w:pPr>
      <w:r>
        <w:continuationSeparator/>
      </w:r>
    </w:p>
  </w:endnote>
  <w:endnote w:type="continuationNotice" w:id="1">
    <w:p w14:paraId="381EEA0D" w14:textId="77777777" w:rsidR="00712B34" w:rsidRDefault="00712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BC52" w14:textId="77777777" w:rsidR="00712B34" w:rsidRDefault="00712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19832"/>
      <w:docPartObj>
        <w:docPartGallery w:val="Page Numbers (Bottom of Page)"/>
        <w:docPartUnique/>
      </w:docPartObj>
    </w:sdtPr>
    <w:sdtEndPr>
      <w:rPr>
        <w:noProof/>
        <w:color w:val="FFFFFF" w:themeColor="background1"/>
      </w:rPr>
    </w:sdtEndPr>
    <w:sdtContent>
      <w:p w14:paraId="60E4CD6F" w14:textId="0F5D24B2" w:rsidR="00712B34" w:rsidRPr="006C6D42" w:rsidRDefault="00712B34" w:rsidP="006C6D42">
        <w:pPr>
          <w:pStyle w:val="Footer"/>
          <w:shd w:val="clear" w:color="auto" w:fill="FFFFFF" w:themeFill="background1"/>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C6F4D">
          <w:rPr>
            <w:noProof/>
            <w:color w:val="FFFFFF" w:themeColor="background1"/>
          </w:rPr>
          <w:t>1</w:t>
        </w:r>
        <w:r>
          <w:rPr>
            <w:color w:val="FFFFFF" w:themeColor="background1"/>
          </w:rPr>
          <w:fldChar w:fldCharType="end"/>
        </w:r>
      </w:p>
    </w:sdtContent>
  </w:sdt>
  <w:p w14:paraId="60E4CD70" w14:textId="77777777" w:rsidR="00712B34" w:rsidRDefault="00712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CD71" w14:textId="77777777" w:rsidR="00712B34" w:rsidRDefault="00712B34">
    <w:pPr>
      <w:pStyle w:val="Footer"/>
      <w:jc w:val="right"/>
    </w:pPr>
  </w:p>
  <w:p w14:paraId="60E4CD72" w14:textId="77777777" w:rsidR="00712B34" w:rsidRDefault="00712B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609453"/>
      <w:docPartObj>
        <w:docPartGallery w:val="Page Numbers (Bottom of Page)"/>
        <w:docPartUnique/>
      </w:docPartObj>
    </w:sdtPr>
    <w:sdtEndPr>
      <w:rPr>
        <w:noProof/>
      </w:rPr>
    </w:sdtEndPr>
    <w:sdtContent>
      <w:p w14:paraId="60E4CD73" w14:textId="5F21BD53" w:rsidR="00712B34" w:rsidRPr="006C6D42" w:rsidRDefault="00712B34" w:rsidP="006C6D42">
        <w:pPr>
          <w:pStyle w:val="Footer"/>
          <w:shd w:val="clear" w:color="auto" w:fill="FFFFFF" w:themeFill="background1"/>
          <w:jc w:val="right"/>
        </w:pPr>
        <w:r>
          <w:fldChar w:fldCharType="begin"/>
        </w:r>
        <w:r>
          <w:instrText xml:space="preserve"> PAGE   \* MERGEFORMAT </w:instrText>
        </w:r>
        <w:r>
          <w:fldChar w:fldCharType="separate"/>
        </w:r>
        <w:r w:rsidR="003C6F4D">
          <w:rPr>
            <w:noProof/>
          </w:rPr>
          <w:t>20</w:t>
        </w:r>
        <w:r>
          <w:fldChar w:fldCharType="end"/>
        </w:r>
      </w:p>
    </w:sdtContent>
  </w:sdt>
  <w:p w14:paraId="60E4CD74" w14:textId="77777777" w:rsidR="00712B34" w:rsidRDefault="00712B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27607"/>
      <w:docPartObj>
        <w:docPartGallery w:val="Page Numbers (Bottom of Page)"/>
        <w:docPartUnique/>
      </w:docPartObj>
    </w:sdtPr>
    <w:sdtEndPr>
      <w:rPr>
        <w:noProof/>
      </w:rPr>
    </w:sdtEndPr>
    <w:sdtContent>
      <w:p w14:paraId="60E4CD75" w14:textId="77777777" w:rsidR="00712B34" w:rsidRDefault="00712B34">
        <w:pPr>
          <w:pStyle w:val="Footer"/>
          <w:jc w:val="right"/>
        </w:pPr>
        <w:r>
          <w:fldChar w:fldCharType="begin"/>
        </w:r>
        <w:r>
          <w:instrText xml:space="preserve"> PAGE   \* MERGEFORMAT </w:instrText>
        </w:r>
        <w:r>
          <w:fldChar w:fldCharType="separate"/>
        </w:r>
        <w:r>
          <w:t>1</w:t>
        </w:r>
        <w:r>
          <w:fldChar w:fldCharType="end"/>
        </w:r>
      </w:p>
    </w:sdtContent>
  </w:sdt>
  <w:p w14:paraId="60E4CD76" w14:textId="77777777" w:rsidR="00712B34" w:rsidRDefault="0071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35A91" w14:textId="77777777" w:rsidR="00712B34" w:rsidRDefault="00712B34" w:rsidP="00F10621">
      <w:pPr>
        <w:spacing w:after="0" w:line="240" w:lineRule="auto"/>
      </w:pPr>
      <w:r>
        <w:separator/>
      </w:r>
    </w:p>
  </w:footnote>
  <w:footnote w:type="continuationSeparator" w:id="0">
    <w:p w14:paraId="6E9222B6" w14:textId="77777777" w:rsidR="00712B34" w:rsidRDefault="00712B34" w:rsidP="00F10621">
      <w:pPr>
        <w:spacing w:after="0" w:line="240" w:lineRule="auto"/>
      </w:pPr>
      <w:r>
        <w:continuationSeparator/>
      </w:r>
    </w:p>
  </w:footnote>
  <w:footnote w:type="continuationNotice" w:id="1">
    <w:p w14:paraId="01C7C010" w14:textId="77777777" w:rsidR="00712B34" w:rsidRDefault="00712B34">
      <w:pPr>
        <w:spacing w:after="0" w:line="240" w:lineRule="auto"/>
      </w:pPr>
    </w:p>
  </w:footnote>
  <w:footnote w:id="2">
    <w:p w14:paraId="369C05BD" w14:textId="043F927E" w:rsidR="00712B34" w:rsidRDefault="00712B34" w:rsidP="006236C7">
      <w:pPr>
        <w:pStyle w:val="NormalWeb"/>
        <w:spacing w:after="75"/>
        <w:rPr>
          <w:rFonts w:ascii="Roboto" w:hAnsi="Roboto"/>
          <w:color w:val="444444"/>
          <w:sz w:val="21"/>
          <w:szCs w:val="21"/>
        </w:rPr>
      </w:pPr>
      <w:r>
        <w:rPr>
          <w:rStyle w:val="Voetnoottekens"/>
        </w:rPr>
        <w:footnoteRef/>
      </w:r>
      <w:r>
        <w:t xml:space="preserve"> </w:t>
      </w:r>
      <w:r>
        <w:rPr>
          <w:rStyle w:val="Strong"/>
          <w:sz w:val="16"/>
        </w:rPr>
        <w:t>2021 m. gegužės 20 d. Europos Parlamento ir Tarybos reglamentas (ES) 2021/888, kuriuo nustatoma Europos solidarumo korpuso programa ir panaikinami reglamentai (ES) 2018/1475 ir (ES) Nr. 375/2014, OL L 202, 2021 6 8, p. 32–54.</w:t>
      </w:r>
    </w:p>
    <w:p w14:paraId="60E4CD78" w14:textId="77777777" w:rsidR="00712B34" w:rsidRDefault="00712B34" w:rsidP="00113A54">
      <w:pPr>
        <w:pStyle w:val="FootnoteText"/>
      </w:pPr>
    </w:p>
  </w:footnote>
  <w:footnote w:id="3">
    <w:p w14:paraId="49760909" w14:textId="77777777" w:rsidR="00712B34" w:rsidRPr="00E72294" w:rsidRDefault="00712B34" w:rsidP="00D052DE">
      <w:pPr>
        <w:pStyle w:val="FootnoteText"/>
      </w:pPr>
      <w:r>
        <w:rPr>
          <w:rStyle w:val="FootnoteReference"/>
        </w:rPr>
        <w:footnoteRef/>
      </w:r>
      <w:r>
        <w:t xml:space="preserve"> </w:t>
      </w:r>
      <w:r>
        <w:rPr>
          <w:rFonts w:ascii="Times New Roman" w:hAnsi="Times New Roman"/>
          <w:color w:val="00B0F0"/>
          <w:sz w:val="16"/>
        </w:rPr>
        <w:t>Ši data turi būti vėlesnė už Sutarties įsigaliojimo datą, nebent leidimus suteikiantis pareigūnas, pareiškėjui įrodžius, kad veiklą pradėti būtina prieš įsigaliojant dotacijos sutarčiai, leistų kitaip. Bet kokiu atveju veiklos pradžios data neturėtų būti ankstesnė už dotacijos paraiškos pateikimo datą.</w:t>
      </w:r>
    </w:p>
  </w:footnote>
  <w:footnote w:id="4">
    <w:p w14:paraId="74560539" w14:textId="77777777" w:rsidR="00712B34" w:rsidRPr="003F7876" w:rsidRDefault="00712B34" w:rsidP="00036339">
      <w:pPr>
        <w:pStyle w:val="FootnoteText"/>
        <w:spacing w:after="0"/>
        <w:jc w:val="both"/>
        <w:rPr>
          <w:rFonts w:ascii="Times New Roman" w:hAnsi="Times New Roman"/>
          <w:sz w:val="16"/>
          <w:szCs w:val="16"/>
        </w:rPr>
      </w:pPr>
      <w:r>
        <w:rPr>
          <w:rStyle w:val="FootnoteReference"/>
        </w:rPr>
        <w:footnoteRef/>
      </w:r>
      <w:r>
        <w:t xml:space="preserve"> </w:t>
      </w:r>
      <w:r>
        <w:rPr>
          <w:rFonts w:ascii="Times New Roman" w:hAnsi="Times New Roman"/>
          <w:sz w:val="16"/>
        </w:rPr>
        <w:t>[</w:t>
      </w:r>
      <w:r>
        <w:rPr>
          <w:rFonts w:ascii="Times New Roman" w:hAnsi="Times New Roman"/>
          <w:i/>
          <w:sz w:val="16"/>
          <w:highlight w:val="lightGray"/>
          <w:shd w:val="clear" w:color="auto" w:fill="00FFFF"/>
        </w:rPr>
        <w:t>Informacija NA – ištrinti</w:t>
      </w:r>
      <w:r>
        <w:rPr>
          <w:rFonts w:ascii="Times New Roman" w:hAnsi="Times New Roman"/>
          <w:sz w:val="16"/>
        </w:rPr>
        <w:t xml:space="preserve">] Įprastas mokėjimų tvarkaraštis pagal dotacijų sutartis, kurių trukmė </w:t>
      </w:r>
      <w:r>
        <w:rPr>
          <w:rFonts w:ascii="Times New Roman" w:hAnsi="Times New Roman"/>
          <w:b/>
          <w:sz w:val="16"/>
        </w:rPr>
        <w:t>neilgesnė kaip dveji metai, yra</w:t>
      </w:r>
      <w:r>
        <w:rPr>
          <w:rFonts w:ascii="Times New Roman" w:hAnsi="Times New Roman"/>
          <w:sz w:val="16"/>
        </w:rPr>
        <w:t>: vienas išankstinio finansavimo mokėjimas (80 proc.) ir likučio mokėjimas (20 proc.). Tačiau tuo atveju, jeigu nėra pakankamai mokėjimų asignavimų, NA gali:</w:t>
      </w:r>
    </w:p>
    <w:p w14:paraId="23134B6D" w14:textId="77777777" w:rsidR="00712B34" w:rsidRPr="003F7876" w:rsidRDefault="00712B34" w:rsidP="00036339">
      <w:pPr>
        <w:pStyle w:val="FootnoteText"/>
        <w:numPr>
          <w:ilvl w:val="0"/>
          <w:numId w:val="5"/>
        </w:numPr>
        <w:spacing w:after="0"/>
        <w:jc w:val="both"/>
        <w:rPr>
          <w:rFonts w:ascii="Times New Roman" w:hAnsi="Times New Roman"/>
          <w:sz w:val="16"/>
          <w:szCs w:val="16"/>
        </w:rPr>
      </w:pPr>
      <w:r>
        <w:rPr>
          <w:rFonts w:ascii="Times New Roman" w:hAnsi="Times New Roman"/>
          <w:sz w:val="16"/>
        </w:rPr>
        <w:t xml:space="preserve">sumažinti pirmąją išankstinio finansavimo sumą 60–80 proc. dydžio procentine dalimi ir išmokėti likutį, sudarantį 20–40 proc. didžiausios dotacijos sumos, arba </w:t>
      </w:r>
    </w:p>
    <w:p w14:paraId="27D051F2" w14:textId="6AF98DA9" w:rsidR="00712B34" w:rsidRPr="00490C76" w:rsidRDefault="00712B34" w:rsidP="00490C76">
      <w:pPr>
        <w:pStyle w:val="FootnoteText"/>
        <w:numPr>
          <w:ilvl w:val="0"/>
          <w:numId w:val="5"/>
        </w:numPr>
        <w:spacing w:after="0"/>
        <w:jc w:val="both"/>
        <w:rPr>
          <w:rFonts w:ascii="Times New Roman" w:hAnsi="Times New Roman"/>
          <w:sz w:val="16"/>
          <w:szCs w:val="16"/>
        </w:rPr>
      </w:pPr>
      <w:r>
        <w:rPr>
          <w:rFonts w:ascii="Times New Roman" w:hAnsi="Times New Roman"/>
          <w:sz w:val="16"/>
        </w:rPr>
        <w:t xml:space="preserve">pirmojo išankstinio finansavimo mokėjimo sumą padalyti į dvi išmokas be tarpinės ataskaitos: tokiu atveju abiejų išmokų bendra suma sudaro 80 proc. didžiausios dotacijos sumos, o likučio išmoka – 20 proc. didžiausios dotacijos sumos. </w:t>
      </w:r>
    </w:p>
  </w:footnote>
  <w:footnote w:id="5">
    <w:p w14:paraId="60E4CD7D" w14:textId="77777777" w:rsidR="00712B34" w:rsidRPr="007A6399" w:rsidRDefault="00712B34" w:rsidP="00F10621">
      <w:pPr>
        <w:pStyle w:val="FootnoteText"/>
        <w:spacing w:after="0"/>
      </w:pPr>
      <w:r>
        <w:rPr>
          <w:rStyle w:val="FootnoteReference"/>
        </w:rPr>
        <w:footnoteRef/>
      </w:r>
      <w:r>
        <w:t xml:space="preserve"> </w:t>
      </w:r>
      <w:r>
        <w:rPr>
          <w:rFonts w:ascii="Times New Roman" w:hAnsi="Times New Roman"/>
        </w:rPr>
        <w:t>[suma, lygi mokėtinai išankstinio finansavimo sumai].</w:t>
      </w:r>
    </w:p>
  </w:footnote>
  <w:footnote w:id="6">
    <w:p w14:paraId="60E4CD7E" w14:textId="77777777" w:rsidR="00712B34" w:rsidRPr="007A6399" w:rsidRDefault="00712B34" w:rsidP="00F10621">
      <w:pPr>
        <w:pStyle w:val="FootnoteText"/>
        <w:spacing w:after="0"/>
      </w:pPr>
      <w:r>
        <w:rPr>
          <w:rStyle w:val="FootnoteReference"/>
        </w:rPr>
        <w:footnoteRef/>
      </w:r>
      <w:r>
        <w:t xml:space="preserve"> </w:t>
      </w:r>
      <w:r>
        <w:rPr>
          <w:rFonts w:ascii="Times New Roman" w:hAnsi="Times New Roman"/>
        </w:rPr>
        <w:t>[suma, lygi mokėtinai išankstinio finansavimo sumai].</w:t>
      </w:r>
    </w:p>
  </w:footnote>
  <w:footnote w:id="7">
    <w:p w14:paraId="60E4CD7F" w14:textId="77777777" w:rsidR="00712B34" w:rsidRPr="007A6399" w:rsidRDefault="00712B34" w:rsidP="00F10621">
      <w:pPr>
        <w:pStyle w:val="FootnoteText"/>
        <w:spacing w:after="0"/>
      </w:pPr>
      <w:r>
        <w:rPr>
          <w:rStyle w:val="FootnoteReference"/>
        </w:rPr>
        <w:footnoteRef/>
      </w:r>
      <w:r>
        <w:t xml:space="preserve"> </w:t>
      </w:r>
      <w:r>
        <w:rPr>
          <w:rFonts w:ascii="Times New Roman" w:hAnsi="Times New Roman"/>
        </w:rPr>
        <w:t>[suma, lygi mokėtinai išankstinio finansavimo sumai].</w:t>
      </w:r>
    </w:p>
  </w:footnote>
  <w:footnote w:id="8">
    <w:p w14:paraId="60E4CD80" w14:textId="666F52B5" w:rsidR="00712B34" w:rsidRPr="004D47AD" w:rsidRDefault="00712B34" w:rsidP="00F10621">
      <w:pPr>
        <w:pStyle w:val="FootnoteText"/>
      </w:pPr>
      <w:r>
        <w:rPr>
          <w:rStyle w:val="FootnoteReference"/>
        </w:rPr>
        <w:footnoteRef/>
      </w:r>
      <w:r>
        <w:t xml:space="preserve"> </w:t>
      </w:r>
      <w:r>
        <w:rPr>
          <w:rFonts w:ascii="Times New Roman" w:hAnsi="Times New Roman"/>
        </w:rPr>
        <w:t>[Po ataskaitinio laikotarpio pabaigos gavėjui turi būti suteikta pakankamai laiko parengti tarpinę ataskaitą]. Rekomenduojama laikytis 60 kalendorinių dienų termino nuo ataskaitinio laikotarpio pabaigos.</w:t>
      </w:r>
    </w:p>
  </w:footnote>
  <w:footnote w:id="9">
    <w:p w14:paraId="45ED5153" w14:textId="77777777" w:rsidR="00712B34" w:rsidRPr="004D47AD" w:rsidRDefault="00712B34" w:rsidP="00482000">
      <w:pPr>
        <w:pStyle w:val="FootnoteText"/>
      </w:pPr>
      <w:r>
        <w:rPr>
          <w:rStyle w:val="FootnoteReference"/>
        </w:rPr>
        <w:footnoteRef/>
      </w:r>
      <w:r>
        <w:t xml:space="preserve"> </w:t>
      </w:r>
      <w:r>
        <w:rPr>
          <w:rFonts w:ascii="Times New Roman" w:hAnsi="Times New Roman"/>
        </w:rPr>
        <w:t xml:space="preserve">[Po ataskaitinio laikotarpio pabaigos gavėjui turi būti suteikta pakankamai laiko parengti tarpinę ataskaitą]. Rekomenduojama laikytis 60 kalendorinių dienų termino nuo ataskaitinio laikotarpio pabaigos. </w:t>
      </w:r>
    </w:p>
  </w:footnote>
  <w:footnote w:id="10">
    <w:p w14:paraId="60E4CD81" w14:textId="77777777" w:rsidR="00712B34" w:rsidRPr="004D47AD" w:rsidRDefault="00712B34" w:rsidP="00F10621">
      <w:pPr>
        <w:pStyle w:val="FootnoteText"/>
      </w:pPr>
      <w:r>
        <w:rPr>
          <w:rStyle w:val="FootnoteReference"/>
        </w:rPr>
        <w:footnoteRef/>
      </w:r>
      <w:r>
        <w:t xml:space="preserve"> </w:t>
      </w:r>
      <w:r>
        <w:rPr>
          <w:rFonts w:ascii="Times New Roman" w:hAnsi="Times New Roman"/>
        </w:rPr>
        <w:t>[Po ataskaitinio laikotarpio pabaigos gavėjui turi būti suteikta pakankamai laiko parengti tarpinę ataskaitą]</w:t>
      </w:r>
    </w:p>
  </w:footnote>
  <w:footnote w:id="11">
    <w:p w14:paraId="67CEAC80" w14:textId="0BE71E4E" w:rsidR="00712B34" w:rsidRPr="004D47AD" w:rsidRDefault="00712B34" w:rsidP="00D12498">
      <w:pPr>
        <w:pStyle w:val="FootnoteText"/>
      </w:pPr>
      <w:r>
        <w:rPr>
          <w:rStyle w:val="FootnoteReference"/>
        </w:rPr>
        <w:footnoteRef/>
      </w:r>
      <w:r>
        <w:t xml:space="preserve"> </w:t>
      </w:r>
      <w:r>
        <w:rPr>
          <w:rFonts w:ascii="Times New Roman" w:hAnsi="Times New Roman"/>
        </w:rPr>
        <w:t>[Po ataskaitinio laikotarpio pabaigos gavėjui turi būti suteikta pakankamai laiko parengti tarpinę ataskaitą]. Rekomenduojama laikytis 60 kalendorinių dienų termino nuo ataskaitinio laikotarpio pabaigos.</w:t>
      </w:r>
    </w:p>
  </w:footnote>
  <w:footnote w:id="12">
    <w:p w14:paraId="42357B03" w14:textId="77777777" w:rsidR="00712B34" w:rsidRPr="008E5D27" w:rsidRDefault="00712B34" w:rsidP="00DA12E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https://ec.europa.eu/info/funding-tenders/procedures-guidelines-tenders/information-contractors-and-beneficiaries/exchange-rate-inforeuro_lt</w:t>
      </w:r>
    </w:p>
  </w:footnote>
  <w:footnote w:id="13">
    <w:p w14:paraId="18BCF231" w14:textId="0443C0B1" w:rsidR="00712B34" w:rsidRPr="008E5D27" w:rsidRDefault="00712B34" w:rsidP="00DA12E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http://www.ecb.europa.eu/stats/exchange/eurofxref/html/index.en.html</w:t>
      </w:r>
    </w:p>
  </w:footnote>
  <w:footnote w:id="14">
    <w:p w14:paraId="60E4CD84" w14:textId="77777777" w:rsidR="00712B34" w:rsidRPr="003F7876" w:rsidRDefault="00712B34" w:rsidP="003F7876">
      <w:pPr>
        <w:pStyle w:val="FootnoteText"/>
        <w:spacing w:after="0"/>
        <w:rPr>
          <w:rFonts w:ascii="Times New Roman" w:hAnsi="Times New Roman"/>
          <w:sz w:val="16"/>
          <w:szCs w:val="16"/>
        </w:rPr>
      </w:pPr>
      <w:r>
        <w:rPr>
          <w:rStyle w:val="FootnoteReference"/>
          <w:rFonts w:ascii="Times New Roman" w:hAnsi="Times New Roman"/>
          <w:sz w:val="18"/>
          <w:szCs w:val="16"/>
        </w:rPr>
        <w:footnoteRef/>
      </w:r>
      <w:r>
        <w:t xml:space="preserve"> </w:t>
      </w:r>
      <w:r>
        <w:rPr>
          <w:sz w:val="16"/>
        </w:rPr>
        <w:t>BIC arba SWIFT kodas toms šalims, kuriose IBAN kodas nenaudojamas.</w:t>
      </w:r>
    </w:p>
  </w:footnote>
  <w:footnote w:id="15">
    <w:p w14:paraId="3A4894B3" w14:textId="395C923E" w:rsidR="00712B34" w:rsidRDefault="00712B34" w:rsidP="00F10621">
      <w:pPr>
        <w:pStyle w:val="FootnoteText"/>
        <w:spacing w:after="0" w:line="240" w:lineRule="auto"/>
        <w:jc w:val="both"/>
      </w:pPr>
      <w:r>
        <w:rPr>
          <w:rStyle w:val="FootnoteReference"/>
        </w:rPr>
        <w:t>13</w:t>
      </w:r>
      <w:r>
        <w:t xml:space="preserve"> </w:t>
      </w:r>
      <w:r w:rsidRPr="00712B34">
        <w:rPr>
          <w:rFonts w:ascii="Times New Roman" w:hAnsi="Times New Roman"/>
        </w:rPr>
        <w:t>Abiem šioje dalyje nurodytais variantais galima naudotis vienu metu, jei pranešimai skirtingais tikslais (pvz., ataskaitų teikimas, prašymai dėl pakeitimo, klausimai) turi būti teikiami toliau nurodytu adresu arba naudojantis elektroninio keitimosi informacija sistema.</w:t>
      </w:r>
      <w:r w:rsidRPr="00712B34">
        <w:rPr>
          <w:rFonts w:ascii="Times New Roman" w:hAnsi="Times New Roman"/>
          <w:sz w:val="16"/>
        </w:rPr>
        <w:t xml:space="preserve"> Šiuo atveju, nurodydami abu variantus, vartokite frazę „[...] tikslais“. Jeigu pasirenkamas tik vienas iš variantų, žodžius „[...] tikslais“ išbraukite</w:t>
      </w:r>
      <w:r>
        <w:rPr>
          <w:rFonts w:ascii="Times New Roman" w:hAnsi="Times New Roman"/>
          <w:sz w:val="16"/>
        </w:rPr>
        <w:t>.</w:t>
      </w:r>
    </w:p>
  </w:footnote>
  <w:footnote w:id="16">
    <w:p w14:paraId="60E4CD87" w14:textId="77777777" w:rsidR="00712B34" w:rsidRPr="003F7876" w:rsidRDefault="00712B34" w:rsidP="003F7876">
      <w:pPr>
        <w:pStyle w:val="FootnoteText"/>
        <w:spacing w:after="0" w:line="240" w:lineRule="auto"/>
        <w:jc w:val="both"/>
        <w:rPr>
          <w:sz w:val="16"/>
          <w:szCs w:val="16"/>
        </w:rPr>
      </w:pPr>
      <w:r>
        <w:rPr>
          <w:rStyle w:val="FootnoteReference"/>
          <w:sz w:val="18"/>
        </w:rPr>
        <w:footnoteRef/>
      </w:r>
      <w:r>
        <w:rPr>
          <w:rStyle w:val="FootnoteReference"/>
          <w:rFonts w:ascii="Times New Roman" w:hAnsi="Times New Roman"/>
          <w:sz w:val="18"/>
        </w:rPr>
        <w:t xml:space="preserve"> </w:t>
      </w:r>
      <w:r>
        <w:rPr>
          <w:rFonts w:ascii="Times New Roman" w:hAnsi="Times New Roman"/>
          <w:sz w:val="16"/>
        </w:rPr>
        <w:t>Abiem šioje dalyje nurodytais variantais galima naudotis vienu metu, jei pranešimai skirtingais tikslais (pvz., informacija apie mokėjimą, klausimai) turi būti teikiami toliau nurodytu adresu arba naudojantis elektroninio keitimosi informacija sistema. Šiuo atveju, nurodydami abu variantus, vartokite frazę „[...] tikslais“. Jeigu pasirenkamas tik vienas iš variantų, žodžius „[...] tikslais“ išbraukite.</w:t>
      </w:r>
    </w:p>
  </w:footnote>
  <w:footnote w:id="17">
    <w:p w14:paraId="60E4CD88" w14:textId="77777777" w:rsidR="00712B34" w:rsidRDefault="00712B34" w:rsidP="00F10621">
      <w:pPr>
        <w:pStyle w:val="FootnoteText"/>
      </w:pPr>
      <w:r>
        <w:rPr>
          <w:rStyle w:val="Voetnoottekens"/>
          <w:rFonts w:ascii="Times New Roman" w:hAnsi="Times New Roman"/>
          <w:sz w:val="16"/>
          <w:szCs w:val="16"/>
        </w:rPr>
        <w:footnoteRef/>
      </w:r>
      <w:r>
        <w:rPr>
          <w:sz w:val="16"/>
        </w:rPr>
        <w:t xml:space="preserve"> </w:t>
      </w:r>
      <w:r>
        <w:rPr>
          <w:rFonts w:ascii="Times New Roman" w:hAnsi="Times New Roman"/>
          <w:sz w:val="16"/>
        </w:rPr>
        <w:t>Atviroji licencija – būdas, kuriuo išteklių savininkas suteikia leidimą kitiems naudotis tais ištekliais. Licencija susiejama su kiekvienu ištekliumi. Atvirųjų licencijų yra įvairių; jos priklauso nuo duodamų leidimų arba nustatomų apribojimų masto, ir gavėjas gali pats spręsti, kokią konkrečią licenciją taikyti savo darbui.  Atviroji licencija turi būti susieta su kiekvienu sukurtu ištekliumi.  Atvirąja licencija autorių teisės arba intelektinės nuosavybės teisės (INT) neperduodamos.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174A" w14:textId="77777777" w:rsidR="00712B34" w:rsidRDefault="00712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34A9" w14:textId="77777777" w:rsidR="00712B34" w:rsidRDefault="00712B34" w:rsidP="00873884">
    <w:pPr>
      <w:pStyle w:val="Header"/>
      <w:rPr>
        <w:rFonts w:ascii="Arial Narrow" w:hAnsi="Arial Narrow"/>
        <w:sz w:val="18"/>
      </w:rPr>
    </w:pPr>
  </w:p>
  <w:p w14:paraId="4F5E95F3" w14:textId="2E121745" w:rsidR="00712B34" w:rsidRPr="003F7876" w:rsidRDefault="00712B34">
    <w:pPr>
      <w:pStyle w:val="Header"/>
      <w:rPr>
        <w:rFonts w:ascii="Arial Narrow" w:hAnsi="Arial Narrow"/>
        <w:sz w:val="18"/>
        <w:szCs w:val="18"/>
      </w:rPr>
    </w:pPr>
    <w:r>
      <w:rPr>
        <w:rFonts w:ascii="Arial Narrow" w:hAnsi="Arial Narrow"/>
        <w:sz w:val="18"/>
      </w:rPr>
      <w:t>Sutarties numeris: [įrašyti]</w:t>
    </w:r>
    <w:r>
      <w:tab/>
    </w:r>
    <w:r>
      <w:tab/>
    </w:r>
    <w:r>
      <w:rPr>
        <w:rFonts w:ascii="Arial Narrow" w:hAnsi="Arial Narrow"/>
        <w:sz w:val="18"/>
      </w:rPr>
      <w:t>Standartinė dotacijos sutartis (</w:t>
    </w:r>
    <w:r>
      <w:rPr>
        <w:rFonts w:ascii="Arial Narrow" w:hAnsi="Arial Narrow"/>
        <w:b/>
        <w:sz w:val="18"/>
      </w:rPr>
      <w:t>su vienu gavėju</w:t>
    </w:r>
    <w:r>
      <w:rPr>
        <w:rFonts w:ascii="Arial Narrow" w:hAnsi="Arial Narrow"/>
        <w:sz w:val="18"/>
      </w:rPr>
      <w:t xml:space="preserve">) </w:t>
    </w:r>
  </w:p>
  <w:p w14:paraId="3329693C" w14:textId="77777777" w:rsidR="00712B34" w:rsidRPr="00873884" w:rsidRDefault="00712B34" w:rsidP="00873884">
    <w:pPr>
      <w:pStyle w:val="Header"/>
      <w:rPr>
        <w:rFonts w:ascii="Arial Narrow" w:hAnsi="Arial Narrow"/>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C823" w14:textId="651DAA98" w:rsidR="00712B34" w:rsidRPr="003F7876" w:rsidRDefault="00712B34">
    <w:pPr>
      <w:pStyle w:val="Header"/>
      <w:rPr>
        <w:rFonts w:ascii="Arial Narrow" w:hAnsi="Arial Narrow" w:cs="Arial"/>
        <w:sz w:val="18"/>
        <w:szCs w:val="18"/>
      </w:rPr>
    </w:pPr>
    <w:r>
      <w:rPr>
        <w:rFonts w:ascii="Arial Narrow" w:hAnsi="Arial Narrow"/>
        <w:sz w:val="18"/>
      </w:rPr>
      <w:t>2022 m. Europos solidarumo korpuso dotacijos sutartis su vienu gavėju. Specialiosios sąlygos</w:t>
    </w:r>
  </w:p>
  <w:p w14:paraId="6387D88D" w14:textId="734276DF" w:rsidR="00712B34" w:rsidRPr="003F7876" w:rsidRDefault="00712B34">
    <w:pPr>
      <w:pStyle w:val="Header"/>
      <w:rPr>
        <w:rFonts w:ascii="Arial Narrow" w:hAnsi="Arial Narrow"/>
        <w:sz w:val="18"/>
        <w:szCs w:val="18"/>
      </w:rPr>
    </w:pPr>
    <w:r>
      <w:rPr>
        <w:rFonts w:ascii="Arial Narrow" w:hAnsi="Arial Narrow"/>
        <w:sz w:val="18"/>
      </w:rPr>
      <w:t>Sutarties numeris: [įrašyti]</w:t>
    </w:r>
    <w:r>
      <w:tab/>
    </w:r>
    <w:r>
      <w:tab/>
    </w:r>
    <w:r>
      <w:rPr>
        <w:rFonts w:ascii="Arial Narrow" w:hAnsi="Arial Narrow"/>
        <w:sz w:val="18"/>
      </w:rPr>
      <w:t>Standartinė dotacijos sutartis (</w:t>
    </w:r>
    <w:r>
      <w:rPr>
        <w:rFonts w:ascii="Arial Narrow" w:hAnsi="Arial Narrow"/>
        <w:b/>
        <w:sz w:val="18"/>
      </w:rPr>
      <w:t>su vienu gavėju</w:t>
    </w:r>
    <w:r>
      <w:rPr>
        <w:rFonts w:ascii="Arial Narrow" w:hAnsi="Arial Narrow"/>
        <w:sz w:val="18"/>
      </w:rPr>
      <w:t xml:space="preserve">) </w:t>
    </w:r>
  </w:p>
  <w:p w14:paraId="79C360DA" w14:textId="77777777" w:rsidR="00712B34" w:rsidRPr="00873884" w:rsidRDefault="00712B34">
    <w:pPr>
      <w:pStyle w:val="Header"/>
      <w:rPr>
        <w:rFonts w:ascii="Arial Narrow" w:hAnsi="Arial Narrow"/>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F7B"/>
    <w:multiLevelType w:val="hybridMultilevel"/>
    <w:tmpl w:val="C330965C"/>
    <w:lvl w:ilvl="0" w:tplc="08090017">
      <w:start w:val="1"/>
      <w:numFmt w:val="lowerLetter"/>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 w15:restartNumberingAfterBreak="0">
    <w:nsid w:val="04475600"/>
    <w:multiLevelType w:val="hybridMultilevel"/>
    <w:tmpl w:val="0E96FC40"/>
    <w:lvl w:ilvl="0" w:tplc="10B0A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D60C4"/>
    <w:multiLevelType w:val="hybridMultilevel"/>
    <w:tmpl w:val="60BA597C"/>
    <w:lvl w:ilvl="0" w:tplc="DFC41F18">
      <w:start w:val="1"/>
      <w:numFmt w:val="lowerLetter"/>
      <w:lvlText w:val="(%1)"/>
      <w:lvlJc w:val="left"/>
      <w:pPr>
        <w:ind w:left="861" w:hanging="360"/>
      </w:pPr>
      <w:rPr>
        <w:rFonts w:hint="default"/>
        <w:sz w:val="24"/>
        <w:szCs w:val="24"/>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E5524"/>
    <w:multiLevelType w:val="hybridMultilevel"/>
    <w:tmpl w:val="FAA08F1E"/>
    <w:lvl w:ilvl="0" w:tplc="DFC41F18">
      <w:start w:val="1"/>
      <w:numFmt w:val="lowerLetter"/>
      <w:lvlText w:val="(%1)"/>
      <w:lvlJc w:val="left"/>
      <w:pPr>
        <w:ind w:left="720" w:hanging="360"/>
      </w:pPr>
      <w:rPr>
        <w:rFonts w:hint="default"/>
        <w:sz w:val="24"/>
        <w:szCs w:val="24"/>
      </w:rPr>
    </w:lvl>
    <w:lvl w:ilvl="1" w:tplc="10B0AB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2" w15:restartNumberingAfterBreak="0">
    <w:nsid w:val="11E938A9"/>
    <w:multiLevelType w:val="hybridMultilevel"/>
    <w:tmpl w:val="4DEA9CA4"/>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E902B434">
      <w:start w:val="1"/>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FC4C1A"/>
    <w:multiLevelType w:val="hybridMultilevel"/>
    <w:tmpl w:val="823A845C"/>
    <w:lvl w:ilvl="0" w:tplc="B46AC832">
      <w:start w:val="1"/>
      <w:numFmt w:val="lowerLetter"/>
      <w:lvlText w:val="(%1)"/>
      <w:lvlJc w:val="left"/>
      <w:pPr>
        <w:ind w:left="71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21"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296C4341"/>
    <w:multiLevelType w:val="hybridMultilevel"/>
    <w:tmpl w:val="B43E5124"/>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A9E21B0"/>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A709F4"/>
    <w:multiLevelType w:val="hybridMultilevel"/>
    <w:tmpl w:val="5504E820"/>
    <w:lvl w:ilvl="0" w:tplc="C4D6CF5C">
      <w:start w:val="1"/>
      <w:numFmt w:val="decimal"/>
      <w:lvlText w:val="ARTICLE I.%1"/>
      <w:lvlJc w:val="left"/>
      <w:pPr>
        <w:ind w:left="6313" w:hanging="36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344F7C10"/>
    <w:multiLevelType w:val="hybridMultilevel"/>
    <w:tmpl w:val="D8C6BEA8"/>
    <w:lvl w:ilvl="0" w:tplc="95345FDC">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92337A3"/>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43" w15:restartNumberingAfterBreak="0">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5" w15:restartNumberingAfterBreak="0">
    <w:nsid w:val="3CF118A7"/>
    <w:multiLevelType w:val="hybridMultilevel"/>
    <w:tmpl w:val="DB42FF7C"/>
    <w:lvl w:ilvl="0" w:tplc="B46AC832">
      <w:start w:val="1"/>
      <w:numFmt w:val="lowerLetter"/>
      <w:lvlText w:val="(%1)"/>
      <w:lvlJc w:val="left"/>
      <w:pPr>
        <w:ind w:left="717" w:hanging="36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46"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47" w15:restartNumberingAfterBreak="0">
    <w:nsid w:val="452A3127"/>
    <w:multiLevelType w:val="hybridMultilevel"/>
    <w:tmpl w:val="A6269D88"/>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51"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5" w15:restartNumberingAfterBreak="0">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6" w15:restartNumberingAfterBreak="0">
    <w:nsid w:val="4C4A0AE9"/>
    <w:multiLevelType w:val="hybridMultilevel"/>
    <w:tmpl w:val="7BBE9DA8"/>
    <w:lvl w:ilvl="0" w:tplc="7554A8A2">
      <w:start w:val="1"/>
      <w:numFmt w:val="lowerLetter"/>
      <w:lvlText w:val="(%1)"/>
      <w:lvlJc w:val="left"/>
      <w:pPr>
        <w:ind w:left="1077" w:hanging="360"/>
      </w:pPr>
      <w:rPr>
        <w:rFonts w:hint="default"/>
        <w:b w:val="0"/>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57" w15:restartNumberingAfterBreak="0">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58"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4917BED"/>
    <w:multiLevelType w:val="hybridMultilevel"/>
    <w:tmpl w:val="FC2CA630"/>
    <w:lvl w:ilvl="0" w:tplc="0809000F">
      <w:start w:val="1"/>
      <w:numFmt w:val="decimal"/>
      <w:lvlText w:val="%1."/>
      <w:lvlJc w:val="left"/>
      <w:pPr>
        <w:ind w:left="1855" w:hanging="360"/>
      </w:pPr>
    </w:lvl>
    <w:lvl w:ilvl="1" w:tplc="08090019" w:tentative="1">
      <w:start w:val="1"/>
      <w:numFmt w:val="lowerLetter"/>
      <w:lvlText w:val="%2."/>
      <w:lvlJc w:val="left"/>
      <w:pPr>
        <w:ind w:left="2575" w:hanging="360"/>
      </w:pPr>
    </w:lvl>
    <w:lvl w:ilvl="2" w:tplc="0809001B">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6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61" w15:restartNumberingAfterBreak="0">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D5158C"/>
    <w:multiLevelType w:val="hybridMultilevel"/>
    <w:tmpl w:val="6BF4FA46"/>
    <w:lvl w:ilvl="0" w:tplc="44DC1C28">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5CBB4A3C"/>
    <w:multiLevelType w:val="hybridMultilevel"/>
    <w:tmpl w:val="44283E44"/>
    <w:lvl w:ilvl="0" w:tplc="7554A8A2">
      <w:start w:val="1"/>
      <w:numFmt w:val="lowerLetter"/>
      <w:lvlText w:val="(%1)"/>
      <w:lvlJc w:val="left"/>
      <w:pPr>
        <w:ind w:left="1077" w:hanging="360"/>
      </w:pPr>
      <w:rPr>
        <w:rFonts w:hint="default"/>
        <w:b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67"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9" w15:restartNumberingAfterBreak="0">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2" w15:restartNumberingAfterBreak="0">
    <w:nsid w:val="633F2F5B"/>
    <w:multiLevelType w:val="hybridMultilevel"/>
    <w:tmpl w:val="46C2D4C8"/>
    <w:lvl w:ilvl="0" w:tplc="0809000F">
      <w:start w:val="1"/>
      <w:numFmt w:val="decimal"/>
      <w:lvlText w:val="%1."/>
      <w:lvlJc w:val="left"/>
      <w:pPr>
        <w:ind w:left="360" w:hanging="360"/>
      </w:pPr>
    </w:lvl>
    <w:lvl w:ilvl="1" w:tplc="10B0ABB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8234DF2"/>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15:restartNumberingAfterBreak="0">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82"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71D42619"/>
    <w:multiLevelType w:val="hybridMultilevel"/>
    <w:tmpl w:val="7B027490"/>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91" w15:restartNumberingAfterBreak="0">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2" w15:restartNumberingAfterBreak="0">
    <w:nsid w:val="784F417E"/>
    <w:multiLevelType w:val="hybridMultilevel"/>
    <w:tmpl w:val="A2145662"/>
    <w:lvl w:ilvl="0" w:tplc="10B0A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C080BD9"/>
    <w:multiLevelType w:val="hybridMultilevel"/>
    <w:tmpl w:val="580E9C4E"/>
    <w:lvl w:ilvl="0" w:tplc="18090017">
      <w:start w:val="1"/>
      <w:numFmt w:val="lowerLetter"/>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95" w15:restartNumberingAfterBreak="0">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74"/>
  </w:num>
  <w:num w:numId="3">
    <w:abstractNumId w:val="52"/>
  </w:num>
  <w:num w:numId="4">
    <w:abstractNumId w:val="63"/>
  </w:num>
  <w:num w:numId="5">
    <w:abstractNumId w:val="25"/>
  </w:num>
  <w:num w:numId="6">
    <w:abstractNumId w:val="26"/>
  </w:num>
  <w:num w:numId="7">
    <w:abstractNumId w:val="12"/>
  </w:num>
  <w:num w:numId="8">
    <w:abstractNumId w:val="4"/>
  </w:num>
  <w:num w:numId="9">
    <w:abstractNumId w:val="48"/>
  </w:num>
  <w:num w:numId="10">
    <w:abstractNumId w:val="62"/>
  </w:num>
  <w:num w:numId="11">
    <w:abstractNumId w:val="5"/>
  </w:num>
  <w:num w:numId="12">
    <w:abstractNumId w:val="87"/>
  </w:num>
  <w:num w:numId="13">
    <w:abstractNumId w:val="61"/>
  </w:num>
  <w:num w:numId="14">
    <w:abstractNumId w:val="82"/>
  </w:num>
  <w:num w:numId="15">
    <w:abstractNumId w:val="21"/>
  </w:num>
  <w:num w:numId="16">
    <w:abstractNumId w:val="44"/>
  </w:num>
  <w:num w:numId="17">
    <w:abstractNumId w:val="31"/>
  </w:num>
  <w:num w:numId="18">
    <w:abstractNumId w:val="42"/>
  </w:num>
  <w:num w:numId="19">
    <w:abstractNumId w:val="71"/>
  </w:num>
  <w:num w:numId="20">
    <w:abstractNumId w:val="81"/>
  </w:num>
  <w:num w:numId="21">
    <w:abstractNumId w:val="36"/>
  </w:num>
  <w:num w:numId="22">
    <w:abstractNumId w:val="68"/>
  </w:num>
  <w:num w:numId="23">
    <w:abstractNumId w:val="66"/>
  </w:num>
  <w:num w:numId="24">
    <w:abstractNumId w:val="50"/>
  </w:num>
  <w:num w:numId="25">
    <w:abstractNumId w:val="60"/>
  </w:num>
  <w:num w:numId="26">
    <w:abstractNumId w:val="22"/>
  </w:num>
  <w:num w:numId="27">
    <w:abstractNumId w:val="39"/>
  </w:num>
  <w:num w:numId="28">
    <w:abstractNumId w:val="17"/>
  </w:num>
  <w:num w:numId="29">
    <w:abstractNumId w:val="33"/>
  </w:num>
  <w:num w:numId="30">
    <w:abstractNumId w:val="86"/>
  </w:num>
  <w:num w:numId="31">
    <w:abstractNumId w:val="93"/>
  </w:num>
  <w:num w:numId="32">
    <w:abstractNumId w:val="89"/>
  </w:num>
  <w:num w:numId="33">
    <w:abstractNumId w:val="51"/>
  </w:num>
  <w:num w:numId="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num>
  <w:num w:numId="37">
    <w:abstractNumId w:val="20"/>
  </w:num>
  <w:num w:numId="38">
    <w:abstractNumId w:val="2"/>
  </w:num>
  <w:num w:numId="39">
    <w:abstractNumId w:val="15"/>
  </w:num>
  <w:num w:numId="40">
    <w:abstractNumId w:val="74"/>
  </w:num>
  <w:num w:numId="41">
    <w:abstractNumId w:val="88"/>
  </w:num>
  <w:num w:numId="42">
    <w:abstractNumId w:val="90"/>
  </w:num>
  <w:num w:numId="43">
    <w:abstractNumId w:val="91"/>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15"/>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80"/>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35"/>
    <w:lvlOverride w:ilvl="0">
      <w:startOverride w:val="1"/>
    </w:lvlOverride>
    <w:lvlOverride w:ilvl="1"/>
    <w:lvlOverride w:ilvl="2"/>
    <w:lvlOverride w:ilvl="3"/>
    <w:lvlOverride w:ilvl="4"/>
    <w:lvlOverride w:ilvl="5"/>
    <w:lvlOverride w:ilvl="6"/>
    <w:lvlOverride w:ilvl="7"/>
    <w:lvlOverride w:ilvl="8"/>
  </w:num>
  <w:num w:numId="58">
    <w:abstractNumId w:val="6"/>
  </w:num>
  <w:num w:numId="59">
    <w:abstractNumId w:val="58"/>
  </w:num>
  <w:num w:numId="60">
    <w:abstractNumId w:val="79"/>
  </w:num>
  <w:num w:numId="61">
    <w:abstractNumId w:val="48"/>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8"/>
  </w:num>
  <w:num w:numId="65">
    <w:abstractNumId w:val="7"/>
  </w:num>
  <w:num w:numId="66">
    <w:abstractNumId w:val="49"/>
  </w:num>
  <w:num w:numId="67">
    <w:abstractNumId w:val="16"/>
  </w:num>
  <w:num w:numId="68">
    <w:abstractNumId w:val="14"/>
  </w:num>
  <w:num w:numId="69">
    <w:abstractNumId w:val="34"/>
  </w:num>
  <w:num w:numId="70">
    <w:abstractNumId w:val="34"/>
  </w:num>
  <w:num w:numId="71">
    <w:abstractNumId w:val="34"/>
  </w:num>
  <w:num w:numId="72">
    <w:abstractNumId w:val="70"/>
  </w:num>
  <w:num w:numId="73">
    <w:abstractNumId w:val="78"/>
  </w:num>
  <w:num w:numId="74">
    <w:abstractNumId w:val="77"/>
  </w:num>
  <w:num w:numId="75">
    <w:abstractNumId w:val="75"/>
  </w:num>
  <w:num w:numId="76">
    <w:abstractNumId w:val="43"/>
  </w:num>
  <w:num w:numId="77">
    <w:abstractNumId w:val="13"/>
  </w:num>
  <w:num w:numId="78">
    <w:abstractNumId w:val="57"/>
  </w:num>
  <w:num w:numId="79">
    <w:abstractNumId w:val="53"/>
  </w:num>
  <w:num w:numId="80">
    <w:abstractNumId w:val="9"/>
  </w:num>
  <w:num w:numId="81">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8"/>
  </w:num>
  <w:num w:numId="83">
    <w:abstractNumId w:val="85"/>
  </w:num>
  <w:num w:numId="84">
    <w:abstractNumId w:val="47"/>
  </w:num>
  <w:num w:numId="85">
    <w:abstractNumId w:val="28"/>
  </w:num>
  <w:num w:numId="86">
    <w:abstractNumId w:val="11"/>
  </w:num>
  <w:num w:numId="87">
    <w:abstractNumId w:val="19"/>
  </w:num>
  <w:num w:numId="88">
    <w:abstractNumId w:val="67"/>
  </w:num>
  <w:num w:numId="89">
    <w:abstractNumId w:val="46"/>
  </w:num>
  <w:num w:numId="90">
    <w:abstractNumId w:val="10"/>
  </w:num>
  <w:num w:numId="91">
    <w:abstractNumId w:val="3"/>
  </w:num>
  <w:num w:numId="92">
    <w:abstractNumId w:val="15"/>
  </w:num>
  <w:num w:numId="93">
    <w:abstractNumId w:val="23"/>
  </w:num>
  <w:num w:numId="94">
    <w:abstractNumId w:val="15"/>
  </w:num>
  <w:num w:numId="95">
    <w:abstractNumId w:val="15"/>
  </w:num>
  <w:num w:numId="96">
    <w:abstractNumId w:val="15"/>
  </w:num>
  <w:num w:numId="97">
    <w:abstractNumId w:val="15"/>
  </w:num>
  <w:num w:numId="98">
    <w:abstractNumId w:val="15"/>
  </w:num>
  <w:num w:numId="99">
    <w:abstractNumId w:val="15"/>
  </w:num>
  <w:num w:numId="100">
    <w:abstractNumId w:val="15"/>
  </w:num>
  <w:num w:numId="101">
    <w:abstractNumId w:val="15"/>
  </w:num>
  <w:num w:numId="102">
    <w:abstractNumId w:val="15"/>
  </w:num>
  <w:num w:numId="103">
    <w:abstractNumId w:val="15"/>
  </w:num>
  <w:num w:numId="104">
    <w:abstractNumId w:val="15"/>
  </w:num>
  <w:num w:numId="105">
    <w:abstractNumId w:val="15"/>
  </w:num>
  <w:num w:numId="106">
    <w:abstractNumId w:val="15"/>
  </w:num>
  <w:num w:numId="107">
    <w:abstractNumId w:val="15"/>
  </w:num>
  <w:num w:numId="108">
    <w:abstractNumId w:val="29"/>
  </w:num>
  <w:num w:numId="109">
    <w:abstractNumId w:val="59"/>
  </w:num>
  <w:num w:numId="110">
    <w:abstractNumId w:val="30"/>
  </w:num>
  <w:num w:numId="111">
    <w:abstractNumId w:val="76"/>
  </w:num>
  <w:num w:numId="112">
    <w:abstractNumId w:val="72"/>
  </w:num>
  <w:num w:numId="113">
    <w:abstractNumId w:val="92"/>
  </w:num>
  <w:num w:numId="114">
    <w:abstractNumId w:val="1"/>
  </w:num>
  <w:num w:numId="115">
    <w:abstractNumId w:val="37"/>
  </w:num>
  <w:num w:numId="116">
    <w:abstractNumId w:val="40"/>
  </w:num>
  <w:num w:numId="117">
    <w:abstractNumId w:val="64"/>
  </w:num>
  <w:num w:numId="118">
    <w:abstractNumId w:val="94"/>
  </w:num>
  <w:num w:numId="119">
    <w:abstractNumId w:val="45"/>
  </w:num>
  <w:num w:numId="120">
    <w:abstractNumId w:val="41"/>
  </w:num>
  <w:num w:numId="121">
    <w:abstractNumId w:val="18"/>
  </w:num>
  <w:num w:numId="122">
    <w:abstractNumId w:val="0"/>
  </w:num>
  <w:num w:numId="123">
    <w:abstractNumId w:val="65"/>
  </w:num>
  <w:num w:numId="124">
    <w:abstractNumId w:val="5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740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10621"/>
    <w:rsid w:val="00001D39"/>
    <w:rsid w:val="00003186"/>
    <w:rsid w:val="00015D03"/>
    <w:rsid w:val="00021E66"/>
    <w:rsid w:val="00023C57"/>
    <w:rsid w:val="00027CAD"/>
    <w:rsid w:val="00031C45"/>
    <w:rsid w:val="00033D14"/>
    <w:rsid w:val="0003409E"/>
    <w:rsid w:val="00036339"/>
    <w:rsid w:val="00036704"/>
    <w:rsid w:val="0003677F"/>
    <w:rsid w:val="000415D0"/>
    <w:rsid w:val="00041E5C"/>
    <w:rsid w:val="00042EF7"/>
    <w:rsid w:val="000467F8"/>
    <w:rsid w:val="000470A9"/>
    <w:rsid w:val="00050594"/>
    <w:rsid w:val="00052748"/>
    <w:rsid w:val="00053A8C"/>
    <w:rsid w:val="000552A8"/>
    <w:rsid w:val="00055F15"/>
    <w:rsid w:val="000563FF"/>
    <w:rsid w:val="00057F8C"/>
    <w:rsid w:val="000602C8"/>
    <w:rsid w:val="0006349F"/>
    <w:rsid w:val="00064F8E"/>
    <w:rsid w:val="0006697E"/>
    <w:rsid w:val="00066C6A"/>
    <w:rsid w:val="00066FA2"/>
    <w:rsid w:val="000670B6"/>
    <w:rsid w:val="00072C9D"/>
    <w:rsid w:val="00074721"/>
    <w:rsid w:val="000804AA"/>
    <w:rsid w:val="0008116E"/>
    <w:rsid w:val="00082477"/>
    <w:rsid w:val="0008680B"/>
    <w:rsid w:val="00087CB4"/>
    <w:rsid w:val="00090897"/>
    <w:rsid w:val="00092964"/>
    <w:rsid w:val="00093111"/>
    <w:rsid w:val="00093C14"/>
    <w:rsid w:val="00096AE0"/>
    <w:rsid w:val="00096C09"/>
    <w:rsid w:val="000A0DA0"/>
    <w:rsid w:val="000A1626"/>
    <w:rsid w:val="000A22B3"/>
    <w:rsid w:val="000A2948"/>
    <w:rsid w:val="000A38C7"/>
    <w:rsid w:val="000B155F"/>
    <w:rsid w:val="000B5FAC"/>
    <w:rsid w:val="000B6080"/>
    <w:rsid w:val="000C347E"/>
    <w:rsid w:val="000C3DBF"/>
    <w:rsid w:val="000C3E0A"/>
    <w:rsid w:val="000C4F01"/>
    <w:rsid w:val="000C5876"/>
    <w:rsid w:val="000D0C53"/>
    <w:rsid w:val="000D253B"/>
    <w:rsid w:val="000D3133"/>
    <w:rsid w:val="000D5B00"/>
    <w:rsid w:val="000D5CA6"/>
    <w:rsid w:val="000D7DF1"/>
    <w:rsid w:val="000E02D8"/>
    <w:rsid w:val="000E16A6"/>
    <w:rsid w:val="000F117E"/>
    <w:rsid w:val="000F16A7"/>
    <w:rsid w:val="000F1770"/>
    <w:rsid w:val="000F18D4"/>
    <w:rsid w:val="000F22CC"/>
    <w:rsid w:val="000F3B40"/>
    <w:rsid w:val="000F42C7"/>
    <w:rsid w:val="000F680E"/>
    <w:rsid w:val="000F73EA"/>
    <w:rsid w:val="000F7A9E"/>
    <w:rsid w:val="00102BA6"/>
    <w:rsid w:val="001051F7"/>
    <w:rsid w:val="00107A44"/>
    <w:rsid w:val="0011004D"/>
    <w:rsid w:val="00110124"/>
    <w:rsid w:val="00113A54"/>
    <w:rsid w:val="001143A4"/>
    <w:rsid w:val="00115392"/>
    <w:rsid w:val="001155C7"/>
    <w:rsid w:val="00116BA0"/>
    <w:rsid w:val="001209E6"/>
    <w:rsid w:val="001218CB"/>
    <w:rsid w:val="00124EC1"/>
    <w:rsid w:val="00132087"/>
    <w:rsid w:val="001334FD"/>
    <w:rsid w:val="001337CD"/>
    <w:rsid w:val="00136498"/>
    <w:rsid w:val="0013716B"/>
    <w:rsid w:val="00140A08"/>
    <w:rsid w:val="001427E0"/>
    <w:rsid w:val="00142D77"/>
    <w:rsid w:val="001454F7"/>
    <w:rsid w:val="001471B2"/>
    <w:rsid w:val="0015281B"/>
    <w:rsid w:val="00153EB5"/>
    <w:rsid w:val="00155E31"/>
    <w:rsid w:val="0015717E"/>
    <w:rsid w:val="001619F7"/>
    <w:rsid w:val="00166C44"/>
    <w:rsid w:val="00167E0F"/>
    <w:rsid w:val="00167F1A"/>
    <w:rsid w:val="00167F3B"/>
    <w:rsid w:val="00173065"/>
    <w:rsid w:val="0017445F"/>
    <w:rsid w:val="00174DAA"/>
    <w:rsid w:val="00175229"/>
    <w:rsid w:val="00175752"/>
    <w:rsid w:val="0018117F"/>
    <w:rsid w:val="00181703"/>
    <w:rsid w:val="0018245E"/>
    <w:rsid w:val="00182F6C"/>
    <w:rsid w:val="00182FBA"/>
    <w:rsid w:val="00186E30"/>
    <w:rsid w:val="00187C70"/>
    <w:rsid w:val="00194399"/>
    <w:rsid w:val="00195F8B"/>
    <w:rsid w:val="00197666"/>
    <w:rsid w:val="0019788D"/>
    <w:rsid w:val="001A0A5E"/>
    <w:rsid w:val="001A20BF"/>
    <w:rsid w:val="001A5B3B"/>
    <w:rsid w:val="001A5D4E"/>
    <w:rsid w:val="001A62F6"/>
    <w:rsid w:val="001B1942"/>
    <w:rsid w:val="001B26E6"/>
    <w:rsid w:val="001B4B7B"/>
    <w:rsid w:val="001B79B0"/>
    <w:rsid w:val="001B7D25"/>
    <w:rsid w:val="001C124E"/>
    <w:rsid w:val="001C2727"/>
    <w:rsid w:val="001C2B73"/>
    <w:rsid w:val="001C43DA"/>
    <w:rsid w:val="001C7AC1"/>
    <w:rsid w:val="001D0842"/>
    <w:rsid w:val="001D130D"/>
    <w:rsid w:val="001D2ED4"/>
    <w:rsid w:val="001D433C"/>
    <w:rsid w:val="001D6AAD"/>
    <w:rsid w:val="001E192D"/>
    <w:rsid w:val="001E3861"/>
    <w:rsid w:val="001E6560"/>
    <w:rsid w:val="001E7C1C"/>
    <w:rsid w:val="001F125E"/>
    <w:rsid w:val="001F3395"/>
    <w:rsid w:val="001F4B1F"/>
    <w:rsid w:val="001F74A0"/>
    <w:rsid w:val="001F756E"/>
    <w:rsid w:val="002001AB"/>
    <w:rsid w:val="00200A93"/>
    <w:rsid w:val="002015C0"/>
    <w:rsid w:val="0020179D"/>
    <w:rsid w:val="0020309D"/>
    <w:rsid w:val="0020740C"/>
    <w:rsid w:val="00207447"/>
    <w:rsid w:val="00207A73"/>
    <w:rsid w:val="002105B5"/>
    <w:rsid w:val="002114C6"/>
    <w:rsid w:val="00212A78"/>
    <w:rsid w:val="00217B11"/>
    <w:rsid w:val="0022107E"/>
    <w:rsid w:val="0022404E"/>
    <w:rsid w:val="00230994"/>
    <w:rsid w:val="00236676"/>
    <w:rsid w:val="00236F63"/>
    <w:rsid w:val="00241F1C"/>
    <w:rsid w:val="002433D9"/>
    <w:rsid w:val="002506AE"/>
    <w:rsid w:val="00251103"/>
    <w:rsid w:val="00251440"/>
    <w:rsid w:val="002518A5"/>
    <w:rsid w:val="0025694E"/>
    <w:rsid w:val="00256F69"/>
    <w:rsid w:val="00257545"/>
    <w:rsid w:val="002617E2"/>
    <w:rsid w:val="002648A3"/>
    <w:rsid w:val="002649D6"/>
    <w:rsid w:val="00266FA2"/>
    <w:rsid w:val="00270ECC"/>
    <w:rsid w:val="00272986"/>
    <w:rsid w:val="00272E27"/>
    <w:rsid w:val="00273007"/>
    <w:rsid w:val="00277F80"/>
    <w:rsid w:val="002803FA"/>
    <w:rsid w:val="00280632"/>
    <w:rsid w:val="00281CAD"/>
    <w:rsid w:val="0028254A"/>
    <w:rsid w:val="00283DB3"/>
    <w:rsid w:val="00284C18"/>
    <w:rsid w:val="00286DCE"/>
    <w:rsid w:val="00287106"/>
    <w:rsid w:val="00287E68"/>
    <w:rsid w:val="00290E67"/>
    <w:rsid w:val="002927B7"/>
    <w:rsid w:val="00293201"/>
    <w:rsid w:val="002935DA"/>
    <w:rsid w:val="00294B1C"/>
    <w:rsid w:val="002A2BD7"/>
    <w:rsid w:val="002A2E43"/>
    <w:rsid w:val="002A6BEE"/>
    <w:rsid w:val="002A6FAB"/>
    <w:rsid w:val="002B02CA"/>
    <w:rsid w:val="002B1597"/>
    <w:rsid w:val="002B2C06"/>
    <w:rsid w:val="002B4D38"/>
    <w:rsid w:val="002C1A47"/>
    <w:rsid w:val="002C2C88"/>
    <w:rsid w:val="002C5A3A"/>
    <w:rsid w:val="002C5B82"/>
    <w:rsid w:val="002C5E71"/>
    <w:rsid w:val="002D301A"/>
    <w:rsid w:val="002D39F9"/>
    <w:rsid w:val="002E1E2B"/>
    <w:rsid w:val="002E2EEF"/>
    <w:rsid w:val="002E6ED0"/>
    <w:rsid w:val="002F0957"/>
    <w:rsid w:val="002F3567"/>
    <w:rsid w:val="002F4EE7"/>
    <w:rsid w:val="002F798C"/>
    <w:rsid w:val="002F7BF6"/>
    <w:rsid w:val="00300FA2"/>
    <w:rsid w:val="00301C26"/>
    <w:rsid w:val="00303263"/>
    <w:rsid w:val="00310999"/>
    <w:rsid w:val="00310E42"/>
    <w:rsid w:val="0031162E"/>
    <w:rsid w:val="0031351F"/>
    <w:rsid w:val="00316889"/>
    <w:rsid w:val="00317953"/>
    <w:rsid w:val="00317D87"/>
    <w:rsid w:val="003226CF"/>
    <w:rsid w:val="003235E9"/>
    <w:rsid w:val="003276F1"/>
    <w:rsid w:val="00333D3C"/>
    <w:rsid w:val="00336F94"/>
    <w:rsid w:val="00337F39"/>
    <w:rsid w:val="00342019"/>
    <w:rsid w:val="00342738"/>
    <w:rsid w:val="00342FB0"/>
    <w:rsid w:val="00343A4E"/>
    <w:rsid w:val="0034494C"/>
    <w:rsid w:val="00345D1F"/>
    <w:rsid w:val="0035045B"/>
    <w:rsid w:val="003539E9"/>
    <w:rsid w:val="00354560"/>
    <w:rsid w:val="003561A4"/>
    <w:rsid w:val="00356C29"/>
    <w:rsid w:val="003600BA"/>
    <w:rsid w:val="003609FF"/>
    <w:rsid w:val="00363F85"/>
    <w:rsid w:val="00364E9B"/>
    <w:rsid w:val="00366448"/>
    <w:rsid w:val="00366589"/>
    <w:rsid w:val="003716F9"/>
    <w:rsid w:val="003731F9"/>
    <w:rsid w:val="00374A3D"/>
    <w:rsid w:val="003760CE"/>
    <w:rsid w:val="00381116"/>
    <w:rsid w:val="003830E3"/>
    <w:rsid w:val="0038589A"/>
    <w:rsid w:val="003932D9"/>
    <w:rsid w:val="00394028"/>
    <w:rsid w:val="00394F19"/>
    <w:rsid w:val="00395FBC"/>
    <w:rsid w:val="00396F16"/>
    <w:rsid w:val="00397B2A"/>
    <w:rsid w:val="00397B42"/>
    <w:rsid w:val="003A0FCC"/>
    <w:rsid w:val="003A4433"/>
    <w:rsid w:val="003A54E8"/>
    <w:rsid w:val="003B25C2"/>
    <w:rsid w:val="003B6D7D"/>
    <w:rsid w:val="003C12D5"/>
    <w:rsid w:val="003C1579"/>
    <w:rsid w:val="003C40A6"/>
    <w:rsid w:val="003C6F4D"/>
    <w:rsid w:val="003C7109"/>
    <w:rsid w:val="003D4B65"/>
    <w:rsid w:val="003E17D4"/>
    <w:rsid w:val="003E63C4"/>
    <w:rsid w:val="003F10CA"/>
    <w:rsid w:val="003F235D"/>
    <w:rsid w:val="003F434C"/>
    <w:rsid w:val="003F555C"/>
    <w:rsid w:val="003F6682"/>
    <w:rsid w:val="003F70C8"/>
    <w:rsid w:val="003F7876"/>
    <w:rsid w:val="004010CE"/>
    <w:rsid w:val="00406B57"/>
    <w:rsid w:val="00406CC8"/>
    <w:rsid w:val="00413C42"/>
    <w:rsid w:val="00415875"/>
    <w:rsid w:val="00416701"/>
    <w:rsid w:val="0042408D"/>
    <w:rsid w:val="00424132"/>
    <w:rsid w:val="0042567E"/>
    <w:rsid w:val="004257DA"/>
    <w:rsid w:val="004278D9"/>
    <w:rsid w:val="00430A1D"/>
    <w:rsid w:val="00431741"/>
    <w:rsid w:val="00432540"/>
    <w:rsid w:val="00432896"/>
    <w:rsid w:val="00434A9B"/>
    <w:rsid w:val="00435E2B"/>
    <w:rsid w:val="00437577"/>
    <w:rsid w:val="00437FAA"/>
    <w:rsid w:val="00440106"/>
    <w:rsid w:val="00441A4C"/>
    <w:rsid w:val="00442B4C"/>
    <w:rsid w:val="00445D90"/>
    <w:rsid w:val="00446237"/>
    <w:rsid w:val="00450104"/>
    <w:rsid w:val="00451823"/>
    <w:rsid w:val="0045199E"/>
    <w:rsid w:val="00453D31"/>
    <w:rsid w:val="00454D61"/>
    <w:rsid w:val="00461CE8"/>
    <w:rsid w:val="00465F36"/>
    <w:rsid w:val="0046664C"/>
    <w:rsid w:val="004678CA"/>
    <w:rsid w:val="00470209"/>
    <w:rsid w:val="004717EE"/>
    <w:rsid w:val="004719A8"/>
    <w:rsid w:val="00472E3A"/>
    <w:rsid w:val="004730A0"/>
    <w:rsid w:val="00473F78"/>
    <w:rsid w:val="00477352"/>
    <w:rsid w:val="004802ED"/>
    <w:rsid w:val="00480642"/>
    <w:rsid w:val="00482000"/>
    <w:rsid w:val="004829B6"/>
    <w:rsid w:val="004865F1"/>
    <w:rsid w:val="00490BF8"/>
    <w:rsid w:val="00490C76"/>
    <w:rsid w:val="004924FD"/>
    <w:rsid w:val="00495444"/>
    <w:rsid w:val="00496086"/>
    <w:rsid w:val="00496A84"/>
    <w:rsid w:val="004A23F5"/>
    <w:rsid w:val="004A4F60"/>
    <w:rsid w:val="004B2C8A"/>
    <w:rsid w:val="004B56F8"/>
    <w:rsid w:val="004B715E"/>
    <w:rsid w:val="004B72CC"/>
    <w:rsid w:val="004C0796"/>
    <w:rsid w:val="004C36ED"/>
    <w:rsid w:val="004C4E8E"/>
    <w:rsid w:val="004C78AC"/>
    <w:rsid w:val="004C7F43"/>
    <w:rsid w:val="004D08BE"/>
    <w:rsid w:val="004D0A77"/>
    <w:rsid w:val="004D222F"/>
    <w:rsid w:val="004D6A3A"/>
    <w:rsid w:val="004E008B"/>
    <w:rsid w:val="004E055C"/>
    <w:rsid w:val="004E0BAD"/>
    <w:rsid w:val="004E116C"/>
    <w:rsid w:val="004E22B7"/>
    <w:rsid w:val="004E2639"/>
    <w:rsid w:val="004E2E71"/>
    <w:rsid w:val="004E48BA"/>
    <w:rsid w:val="004E698C"/>
    <w:rsid w:val="004E77A9"/>
    <w:rsid w:val="004F03B4"/>
    <w:rsid w:val="004F0A62"/>
    <w:rsid w:val="004F14A8"/>
    <w:rsid w:val="004F4131"/>
    <w:rsid w:val="00500403"/>
    <w:rsid w:val="00501B71"/>
    <w:rsid w:val="00502F80"/>
    <w:rsid w:val="005040D1"/>
    <w:rsid w:val="005042A6"/>
    <w:rsid w:val="00510259"/>
    <w:rsid w:val="00510C97"/>
    <w:rsid w:val="00512FCE"/>
    <w:rsid w:val="005157FA"/>
    <w:rsid w:val="00515EDF"/>
    <w:rsid w:val="00516618"/>
    <w:rsid w:val="005214AA"/>
    <w:rsid w:val="00522864"/>
    <w:rsid w:val="005235CD"/>
    <w:rsid w:val="00532926"/>
    <w:rsid w:val="00532D9F"/>
    <w:rsid w:val="00533111"/>
    <w:rsid w:val="005340F4"/>
    <w:rsid w:val="005416BE"/>
    <w:rsid w:val="0054690C"/>
    <w:rsid w:val="00553C03"/>
    <w:rsid w:val="00556492"/>
    <w:rsid w:val="00560554"/>
    <w:rsid w:val="0056070E"/>
    <w:rsid w:val="005609FB"/>
    <w:rsid w:val="00562C4B"/>
    <w:rsid w:val="005671C3"/>
    <w:rsid w:val="00577DF3"/>
    <w:rsid w:val="005815E0"/>
    <w:rsid w:val="00584528"/>
    <w:rsid w:val="005845CC"/>
    <w:rsid w:val="0058529E"/>
    <w:rsid w:val="00586838"/>
    <w:rsid w:val="00586EC8"/>
    <w:rsid w:val="00593BDE"/>
    <w:rsid w:val="0059586F"/>
    <w:rsid w:val="005974E3"/>
    <w:rsid w:val="005A2B8A"/>
    <w:rsid w:val="005A2EBE"/>
    <w:rsid w:val="005A57D1"/>
    <w:rsid w:val="005A740E"/>
    <w:rsid w:val="005A7C1F"/>
    <w:rsid w:val="005B1203"/>
    <w:rsid w:val="005B1A77"/>
    <w:rsid w:val="005B5B0A"/>
    <w:rsid w:val="005B603B"/>
    <w:rsid w:val="005C0167"/>
    <w:rsid w:val="005C3B3B"/>
    <w:rsid w:val="005C5A59"/>
    <w:rsid w:val="005C6DEC"/>
    <w:rsid w:val="005D0EA7"/>
    <w:rsid w:val="005D5485"/>
    <w:rsid w:val="005D551D"/>
    <w:rsid w:val="005E0120"/>
    <w:rsid w:val="005E074D"/>
    <w:rsid w:val="005E0C1E"/>
    <w:rsid w:val="005E1A38"/>
    <w:rsid w:val="005E30E6"/>
    <w:rsid w:val="005E62AE"/>
    <w:rsid w:val="005F0774"/>
    <w:rsid w:val="005F0C4B"/>
    <w:rsid w:val="005F2FEF"/>
    <w:rsid w:val="005F4495"/>
    <w:rsid w:val="005F79D4"/>
    <w:rsid w:val="005F7A6C"/>
    <w:rsid w:val="00600D53"/>
    <w:rsid w:val="00602256"/>
    <w:rsid w:val="0060628A"/>
    <w:rsid w:val="006077EE"/>
    <w:rsid w:val="0061062B"/>
    <w:rsid w:val="00612D61"/>
    <w:rsid w:val="006153B5"/>
    <w:rsid w:val="0061786B"/>
    <w:rsid w:val="006227A9"/>
    <w:rsid w:val="006236C7"/>
    <w:rsid w:val="00623D21"/>
    <w:rsid w:val="00632023"/>
    <w:rsid w:val="00632574"/>
    <w:rsid w:val="0063275A"/>
    <w:rsid w:val="006362F7"/>
    <w:rsid w:val="006369B1"/>
    <w:rsid w:val="00637720"/>
    <w:rsid w:val="0063BD06"/>
    <w:rsid w:val="00640940"/>
    <w:rsid w:val="00640EE8"/>
    <w:rsid w:val="00642FC1"/>
    <w:rsid w:val="00643C02"/>
    <w:rsid w:val="00643FC9"/>
    <w:rsid w:val="00646A5F"/>
    <w:rsid w:val="00651C9A"/>
    <w:rsid w:val="00654426"/>
    <w:rsid w:val="0065483F"/>
    <w:rsid w:val="00656985"/>
    <w:rsid w:val="00657A07"/>
    <w:rsid w:val="00657A31"/>
    <w:rsid w:val="006630BE"/>
    <w:rsid w:val="006638D6"/>
    <w:rsid w:val="00671A02"/>
    <w:rsid w:val="0067336B"/>
    <w:rsid w:val="00673EE1"/>
    <w:rsid w:val="00675A1C"/>
    <w:rsid w:val="006765DB"/>
    <w:rsid w:val="0067664D"/>
    <w:rsid w:val="006771D5"/>
    <w:rsid w:val="00681729"/>
    <w:rsid w:val="0068243B"/>
    <w:rsid w:val="00684BA1"/>
    <w:rsid w:val="006857CD"/>
    <w:rsid w:val="00686F78"/>
    <w:rsid w:val="0069222E"/>
    <w:rsid w:val="00692A3A"/>
    <w:rsid w:val="006957A1"/>
    <w:rsid w:val="00695B74"/>
    <w:rsid w:val="006976DD"/>
    <w:rsid w:val="006A0D1C"/>
    <w:rsid w:val="006A1611"/>
    <w:rsid w:val="006A2F5D"/>
    <w:rsid w:val="006B0DB8"/>
    <w:rsid w:val="006B1BED"/>
    <w:rsid w:val="006B2CB0"/>
    <w:rsid w:val="006B32FD"/>
    <w:rsid w:val="006B4A58"/>
    <w:rsid w:val="006B72B8"/>
    <w:rsid w:val="006B7C78"/>
    <w:rsid w:val="006C128D"/>
    <w:rsid w:val="006C1A86"/>
    <w:rsid w:val="006C1FD4"/>
    <w:rsid w:val="006C2909"/>
    <w:rsid w:val="006C44E2"/>
    <w:rsid w:val="006C4BDA"/>
    <w:rsid w:val="006C5FA2"/>
    <w:rsid w:val="006C644B"/>
    <w:rsid w:val="006C6D42"/>
    <w:rsid w:val="006C7371"/>
    <w:rsid w:val="006D049B"/>
    <w:rsid w:val="006D386D"/>
    <w:rsid w:val="006D3CF3"/>
    <w:rsid w:val="006E006A"/>
    <w:rsid w:val="006E29DD"/>
    <w:rsid w:val="006E2A6B"/>
    <w:rsid w:val="006F0BE5"/>
    <w:rsid w:val="006F377E"/>
    <w:rsid w:val="006F3B4B"/>
    <w:rsid w:val="006F6957"/>
    <w:rsid w:val="006F7DCF"/>
    <w:rsid w:val="00700AC9"/>
    <w:rsid w:val="00701E93"/>
    <w:rsid w:val="00701F9F"/>
    <w:rsid w:val="00703440"/>
    <w:rsid w:val="007046EF"/>
    <w:rsid w:val="0071016B"/>
    <w:rsid w:val="00710AE3"/>
    <w:rsid w:val="00712B34"/>
    <w:rsid w:val="007157E0"/>
    <w:rsid w:val="00715B8F"/>
    <w:rsid w:val="007213AD"/>
    <w:rsid w:val="00721DC1"/>
    <w:rsid w:val="0072615D"/>
    <w:rsid w:val="00726170"/>
    <w:rsid w:val="007263E0"/>
    <w:rsid w:val="00726D2F"/>
    <w:rsid w:val="0073450C"/>
    <w:rsid w:val="007374D5"/>
    <w:rsid w:val="007414AA"/>
    <w:rsid w:val="0074292B"/>
    <w:rsid w:val="007434CB"/>
    <w:rsid w:val="00743BEC"/>
    <w:rsid w:val="0075161F"/>
    <w:rsid w:val="0075348F"/>
    <w:rsid w:val="00753891"/>
    <w:rsid w:val="007565CF"/>
    <w:rsid w:val="00757583"/>
    <w:rsid w:val="00760A7C"/>
    <w:rsid w:val="00760C78"/>
    <w:rsid w:val="0076286B"/>
    <w:rsid w:val="00765E6A"/>
    <w:rsid w:val="00767265"/>
    <w:rsid w:val="00771455"/>
    <w:rsid w:val="00771584"/>
    <w:rsid w:val="007814B0"/>
    <w:rsid w:val="007873E6"/>
    <w:rsid w:val="00792E5F"/>
    <w:rsid w:val="00793AA5"/>
    <w:rsid w:val="007945F2"/>
    <w:rsid w:val="00795F90"/>
    <w:rsid w:val="0079679D"/>
    <w:rsid w:val="00797C52"/>
    <w:rsid w:val="007A3468"/>
    <w:rsid w:val="007A4CF8"/>
    <w:rsid w:val="007A6716"/>
    <w:rsid w:val="007A69F8"/>
    <w:rsid w:val="007A7F83"/>
    <w:rsid w:val="007B1EF0"/>
    <w:rsid w:val="007B29CA"/>
    <w:rsid w:val="007B3C31"/>
    <w:rsid w:val="007B6199"/>
    <w:rsid w:val="007B718D"/>
    <w:rsid w:val="007B78CF"/>
    <w:rsid w:val="007C0849"/>
    <w:rsid w:val="007C16B2"/>
    <w:rsid w:val="007C3323"/>
    <w:rsid w:val="007C63EE"/>
    <w:rsid w:val="007D59C9"/>
    <w:rsid w:val="007D6070"/>
    <w:rsid w:val="007D62C4"/>
    <w:rsid w:val="007E1FDC"/>
    <w:rsid w:val="007E3FDA"/>
    <w:rsid w:val="007E71F3"/>
    <w:rsid w:val="007F084D"/>
    <w:rsid w:val="007F0E12"/>
    <w:rsid w:val="007F1C6A"/>
    <w:rsid w:val="007F24FE"/>
    <w:rsid w:val="007F2ACD"/>
    <w:rsid w:val="007F5FE5"/>
    <w:rsid w:val="00801429"/>
    <w:rsid w:val="00807B4B"/>
    <w:rsid w:val="00810035"/>
    <w:rsid w:val="00816C13"/>
    <w:rsid w:val="008221C7"/>
    <w:rsid w:val="008222A9"/>
    <w:rsid w:val="008232B3"/>
    <w:rsid w:val="00823B61"/>
    <w:rsid w:val="00825755"/>
    <w:rsid w:val="0082783D"/>
    <w:rsid w:val="00830BA7"/>
    <w:rsid w:val="00834DC2"/>
    <w:rsid w:val="0083563A"/>
    <w:rsid w:val="008363F6"/>
    <w:rsid w:val="00837FA6"/>
    <w:rsid w:val="008419CD"/>
    <w:rsid w:val="00846767"/>
    <w:rsid w:val="008479BE"/>
    <w:rsid w:val="008517EE"/>
    <w:rsid w:val="008528F1"/>
    <w:rsid w:val="00852F04"/>
    <w:rsid w:val="0085624B"/>
    <w:rsid w:val="00857E09"/>
    <w:rsid w:val="0086171F"/>
    <w:rsid w:val="008717F1"/>
    <w:rsid w:val="00871A1F"/>
    <w:rsid w:val="00873884"/>
    <w:rsid w:val="00880B02"/>
    <w:rsid w:val="00880C92"/>
    <w:rsid w:val="0088218A"/>
    <w:rsid w:val="0088316C"/>
    <w:rsid w:val="0089032F"/>
    <w:rsid w:val="00897D74"/>
    <w:rsid w:val="008A0F0E"/>
    <w:rsid w:val="008A2D16"/>
    <w:rsid w:val="008A362B"/>
    <w:rsid w:val="008A3B8C"/>
    <w:rsid w:val="008A4FA1"/>
    <w:rsid w:val="008A7960"/>
    <w:rsid w:val="008B03B9"/>
    <w:rsid w:val="008B4669"/>
    <w:rsid w:val="008B4E97"/>
    <w:rsid w:val="008B5A17"/>
    <w:rsid w:val="008C0F13"/>
    <w:rsid w:val="008C1450"/>
    <w:rsid w:val="008C1DFF"/>
    <w:rsid w:val="008C238D"/>
    <w:rsid w:val="008C3B63"/>
    <w:rsid w:val="008C5876"/>
    <w:rsid w:val="008C7ABD"/>
    <w:rsid w:val="008D2AE1"/>
    <w:rsid w:val="008D3610"/>
    <w:rsid w:val="008D48AC"/>
    <w:rsid w:val="008D534C"/>
    <w:rsid w:val="008D560A"/>
    <w:rsid w:val="008D798E"/>
    <w:rsid w:val="008E555D"/>
    <w:rsid w:val="008E5D27"/>
    <w:rsid w:val="008F6582"/>
    <w:rsid w:val="00901B66"/>
    <w:rsid w:val="00901CCF"/>
    <w:rsid w:val="00902DE2"/>
    <w:rsid w:val="00903DCB"/>
    <w:rsid w:val="00905601"/>
    <w:rsid w:val="00912F88"/>
    <w:rsid w:val="00913D68"/>
    <w:rsid w:val="009171C7"/>
    <w:rsid w:val="00917A3C"/>
    <w:rsid w:val="0092303B"/>
    <w:rsid w:val="00923053"/>
    <w:rsid w:val="00924DE1"/>
    <w:rsid w:val="00924E50"/>
    <w:rsid w:val="00925D79"/>
    <w:rsid w:val="009314C2"/>
    <w:rsid w:val="00937331"/>
    <w:rsid w:val="0093739F"/>
    <w:rsid w:val="00940881"/>
    <w:rsid w:val="00940EB9"/>
    <w:rsid w:val="0094241C"/>
    <w:rsid w:val="00943172"/>
    <w:rsid w:val="00950FC9"/>
    <w:rsid w:val="00951829"/>
    <w:rsid w:val="009549A0"/>
    <w:rsid w:val="009643F1"/>
    <w:rsid w:val="00972D71"/>
    <w:rsid w:val="0097A25E"/>
    <w:rsid w:val="00982FB8"/>
    <w:rsid w:val="00983355"/>
    <w:rsid w:val="00983606"/>
    <w:rsid w:val="00983697"/>
    <w:rsid w:val="00984662"/>
    <w:rsid w:val="00985AB1"/>
    <w:rsid w:val="00986AEE"/>
    <w:rsid w:val="00986E7D"/>
    <w:rsid w:val="009873B0"/>
    <w:rsid w:val="00987E0C"/>
    <w:rsid w:val="009906CF"/>
    <w:rsid w:val="00992621"/>
    <w:rsid w:val="00993259"/>
    <w:rsid w:val="0099349B"/>
    <w:rsid w:val="009937FA"/>
    <w:rsid w:val="009A18E8"/>
    <w:rsid w:val="009A2530"/>
    <w:rsid w:val="009A2ACA"/>
    <w:rsid w:val="009A5660"/>
    <w:rsid w:val="009A744F"/>
    <w:rsid w:val="009B05FB"/>
    <w:rsid w:val="009B0ED3"/>
    <w:rsid w:val="009B273E"/>
    <w:rsid w:val="009B2AC6"/>
    <w:rsid w:val="009B4E71"/>
    <w:rsid w:val="009B5A1F"/>
    <w:rsid w:val="009C6EF5"/>
    <w:rsid w:val="009D00C7"/>
    <w:rsid w:val="009D0349"/>
    <w:rsid w:val="009D0510"/>
    <w:rsid w:val="009D1546"/>
    <w:rsid w:val="009D57CA"/>
    <w:rsid w:val="009E0856"/>
    <w:rsid w:val="009E1049"/>
    <w:rsid w:val="009E408B"/>
    <w:rsid w:val="009E4227"/>
    <w:rsid w:val="009E4DD7"/>
    <w:rsid w:val="009E5C14"/>
    <w:rsid w:val="009E77EF"/>
    <w:rsid w:val="009F15BD"/>
    <w:rsid w:val="009F2AE2"/>
    <w:rsid w:val="009F3518"/>
    <w:rsid w:val="009F47BE"/>
    <w:rsid w:val="009F7A59"/>
    <w:rsid w:val="009F7A84"/>
    <w:rsid w:val="00A00BCC"/>
    <w:rsid w:val="00A0731A"/>
    <w:rsid w:val="00A0775B"/>
    <w:rsid w:val="00A11FC9"/>
    <w:rsid w:val="00A12226"/>
    <w:rsid w:val="00A14022"/>
    <w:rsid w:val="00A206D9"/>
    <w:rsid w:val="00A21462"/>
    <w:rsid w:val="00A220ED"/>
    <w:rsid w:val="00A2376E"/>
    <w:rsid w:val="00A245A8"/>
    <w:rsid w:val="00A30118"/>
    <w:rsid w:val="00A31261"/>
    <w:rsid w:val="00A3252A"/>
    <w:rsid w:val="00A33FA4"/>
    <w:rsid w:val="00A3569F"/>
    <w:rsid w:val="00A3791A"/>
    <w:rsid w:val="00A44912"/>
    <w:rsid w:val="00A44B3D"/>
    <w:rsid w:val="00A50886"/>
    <w:rsid w:val="00A52425"/>
    <w:rsid w:val="00A60C81"/>
    <w:rsid w:val="00A62DDE"/>
    <w:rsid w:val="00A643E8"/>
    <w:rsid w:val="00A65C30"/>
    <w:rsid w:val="00A76A5F"/>
    <w:rsid w:val="00A82342"/>
    <w:rsid w:val="00A907D2"/>
    <w:rsid w:val="00A91EAA"/>
    <w:rsid w:val="00A93ADC"/>
    <w:rsid w:val="00AA1D3A"/>
    <w:rsid w:val="00AA3AAE"/>
    <w:rsid w:val="00AA5300"/>
    <w:rsid w:val="00AA5305"/>
    <w:rsid w:val="00AA56C2"/>
    <w:rsid w:val="00AB06AE"/>
    <w:rsid w:val="00AB1851"/>
    <w:rsid w:val="00AB1BEB"/>
    <w:rsid w:val="00AB37DF"/>
    <w:rsid w:val="00AB621E"/>
    <w:rsid w:val="00AB68E8"/>
    <w:rsid w:val="00AB6E89"/>
    <w:rsid w:val="00AC137B"/>
    <w:rsid w:val="00AC1A69"/>
    <w:rsid w:val="00AC317E"/>
    <w:rsid w:val="00AC4EC3"/>
    <w:rsid w:val="00AD0385"/>
    <w:rsid w:val="00AD0432"/>
    <w:rsid w:val="00AD315C"/>
    <w:rsid w:val="00AD45D1"/>
    <w:rsid w:val="00AD4914"/>
    <w:rsid w:val="00AD4AFC"/>
    <w:rsid w:val="00AE1B45"/>
    <w:rsid w:val="00AE3E8F"/>
    <w:rsid w:val="00AE5ACA"/>
    <w:rsid w:val="00AE60FD"/>
    <w:rsid w:val="00AE6A0C"/>
    <w:rsid w:val="00AF0314"/>
    <w:rsid w:val="00AF06B8"/>
    <w:rsid w:val="00AF2C09"/>
    <w:rsid w:val="00AF367F"/>
    <w:rsid w:val="00AF41BA"/>
    <w:rsid w:val="00AF5791"/>
    <w:rsid w:val="00AF7C4A"/>
    <w:rsid w:val="00B004E7"/>
    <w:rsid w:val="00B0212B"/>
    <w:rsid w:val="00B02DFA"/>
    <w:rsid w:val="00B045C3"/>
    <w:rsid w:val="00B07A1C"/>
    <w:rsid w:val="00B11CCE"/>
    <w:rsid w:val="00B1383D"/>
    <w:rsid w:val="00B13A32"/>
    <w:rsid w:val="00B15CB7"/>
    <w:rsid w:val="00B15DF1"/>
    <w:rsid w:val="00B17719"/>
    <w:rsid w:val="00B218F9"/>
    <w:rsid w:val="00B249ED"/>
    <w:rsid w:val="00B31423"/>
    <w:rsid w:val="00B3195E"/>
    <w:rsid w:val="00B31E21"/>
    <w:rsid w:val="00B3345C"/>
    <w:rsid w:val="00B34DB1"/>
    <w:rsid w:val="00B367C9"/>
    <w:rsid w:val="00B36E82"/>
    <w:rsid w:val="00B45637"/>
    <w:rsid w:val="00B4621D"/>
    <w:rsid w:val="00B46451"/>
    <w:rsid w:val="00B4677C"/>
    <w:rsid w:val="00B47C69"/>
    <w:rsid w:val="00B50206"/>
    <w:rsid w:val="00B522BA"/>
    <w:rsid w:val="00B52753"/>
    <w:rsid w:val="00B53C6D"/>
    <w:rsid w:val="00B55EF8"/>
    <w:rsid w:val="00B5611E"/>
    <w:rsid w:val="00B617C7"/>
    <w:rsid w:val="00B61D80"/>
    <w:rsid w:val="00B63E02"/>
    <w:rsid w:val="00B645F1"/>
    <w:rsid w:val="00B678B5"/>
    <w:rsid w:val="00B70F7F"/>
    <w:rsid w:val="00B7174C"/>
    <w:rsid w:val="00B743BA"/>
    <w:rsid w:val="00B74666"/>
    <w:rsid w:val="00B76FB7"/>
    <w:rsid w:val="00B80F54"/>
    <w:rsid w:val="00B82956"/>
    <w:rsid w:val="00B9087F"/>
    <w:rsid w:val="00B90C85"/>
    <w:rsid w:val="00B92887"/>
    <w:rsid w:val="00B9408E"/>
    <w:rsid w:val="00BA0C36"/>
    <w:rsid w:val="00BA2903"/>
    <w:rsid w:val="00BA36E9"/>
    <w:rsid w:val="00BA3DBB"/>
    <w:rsid w:val="00BA4438"/>
    <w:rsid w:val="00BA4D43"/>
    <w:rsid w:val="00BA558F"/>
    <w:rsid w:val="00BA6B90"/>
    <w:rsid w:val="00BA7B87"/>
    <w:rsid w:val="00BA7CA3"/>
    <w:rsid w:val="00BB4305"/>
    <w:rsid w:val="00BB7123"/>
    <w:rsid w:val="00BC012B"/>
    <w:rsid w:val="00BC2E1A"/>
    <w:rsid w:val="00BC5194"/>
    <w:rsid w:val="00BC52E2"/>
    <w:rsid w:val="00BC5EBE"/>
    <w:rsid w:val="00BD59C3"/>
    <w:rsid w:val="00BD5A05"/>
    <w:rsid w:val="00BD5F82"/>
    <w:rsid w:val="00BD628D"/>
    <w:rsid w:val="00BE103D"/>
    <w:rsid w:val="00BE7C98"/>
    <w:rsid w:val="00BF13F3"/>
    <w:rsid w:val="00BF1E0F"/>
    <w:rsid w:val="00BF1FF2"/>
    <w:rsid w:val="00BF305F"/>
    <w:rsid w:val="00BF4062"/>
    <w:rsid w:val="00BF45DC"/>
    <w:rsid w:val="00BF6078"/>
    <w:rsid w:val="00BF67DD"/>
    <w:rsid w:val="00C07348"/>
    <w:rsid w:val="00C17892"/>
    <w:rsid w:val="00C202FA"/>
    <w:rsid w:val="00C21929"/>
    <w:rsid w:val="00C21E47"/>
    <w:rsid w:val="00C22DED"/>
    <w:rsid w:val="00C34300"/>
    <w:rsid w:val="00C34403"/>
    <w:rsid w:val="00C3635D"/>
    <w:rsid w:val="00C37268"/>
    <w:rsid w:val="00C378ED"/>
    <w:rsid w:val="00C4067E"/>
    <w:rsid w:val="00C407A0"/>
    <w:rsid w:val="00C42B88"/>
    <w:rsid w:val="00C43AD7"/>
    <w:rsid w:val="00C442F5"/>
    <w:rsid w:val="00C44DE2"/>
    <w:rsid w:val="00C46F42"/>
    <w:rsid w:val="00C47349"/>
    <w:rsid w:val="00C514C6"/>
    <w:rsid w:val="00C51857"/>
    <w:rsid w:val="00C52EAA"/>
    <w:rsid w:val="00C542BD"/>
    <w:rsid w:val="00C55BC2"/>
    <w:rsid w:val="00C564F5"/>
    <w:rsid w:val="00C570F5"/>
    <w:rsid w:val="00C57C0B"/>
    <w:rsid w:val="00C62D3B"/>
    <w:rsid w:val="00C6379A"/>
    <w:rsid w:val="00C70D32"/>
    <w:rsid w:val="00C81F21"/>
    <w:rsid w:val="00C835EC"/>
    <w:rsid w:val="00C84C04"/>
    <w:rsid w:val="00C87D36"/>
    <w:rsid w:val="00C935E2"/>
    <w:rsid w:val="00C946E4"/>
    <w:rsid w:val="00C9564A"/>
    <w:rsid w:val="00C95759"/>
    <w:rsid w:val="00CA03F2"/>
    <w:rsid w:val="00CA0E2C"/>
    <w:rsid w:val="00CA25D3"/>
    <w:rsid w:val="00CA62D9"/>
    <w:rsid w:val="00CA795F"/>
    <w:rsid w:val="00CB2F85"/>
    <w:rsid w:val="00CB356B"/>
    <w:rsid w:val="00CB4246"/>
    <w:rsid w:val="00CB43F7"/>
    <w:rsid w:val="00CB5A2E"/>
    <w:rsid w:val="00CB7384"/>
    <w:rsid w:val="00CC0686"/>
    <w:rsid w:val="00CC126B"/>
    <w:rsid w:val="00CC1A78"/>
    <w:rsid w:val="00CC277B"/>
    <w:rsid w:val="00CC3033"/>
    <w:rsid w:val="00CC42E8"/>
    <w:rsid w:val="00CC4511"/>
    <w:rsid w:val="00CD0976"/>
    <w:rsid w:val="00CD299F"/>
    <w:rsid w:val="00CD3913"/>
    <w:rsid w:val="00CD55D9"/>
    <w:rsid w:val="00CD64A3"/>
    <w:rsid w:val="00CE1FAE"/>
    <w:rsid w:val="00CE24D3"/>
    <w:rsid w:val="00CE2B90"/>
    <w:rsid w:val="00CE6343"/>
    <w:rsid w:val="00CE6393"/>
    <w:rsid w:val="00CF1335"/>
    <w:rsid w:val="00CF32FA"/>
    <w:rsid w:val="00CF616B"/>
    <w:rsid w:val="00CF68D9"/>
    <w:rsid w:val="00CF68F6"/>
    <w:rsid w:val="00CF7427"/>
    <w:rsid w:val="00CF7600"/>
    <w:rsid w:val="00D0147F"/>
    <w:rsid w:val="00D01DBC"/>
    <w:rsid w:val="00D02F7D"/>
    <w:rsid w:val="00D052DE"/>
    <w:rsid w:val="00D07511"/>
    <w:rsid w:val="00D12498"/>
    <w:rsid w:val="00D171F2"/>
    <w:rsid w:val="00D17C50"/>
    <w:rsid w:val="00D208B2"/>
    <w:rsid w:val="00D208BD"/>
    <w:rsid w:val="00D240BA"/>
    <w:rsid w:val="00D332BE"/>
    <w:rsid w:val="00D37F33"/>
    <w:rsid w:val="00D40268"/>
    <w:rsid w:val="00D4062F"/>
    <w:rsid w:val="00D41266"/>
    <w:rsid w:val="00D4625E"/>
    <w:rsid w:val="00D54FC3"/>
    <w:rsid w:val="00D55122"/>
    <w:rsid w:val="00D63D5C"/>
    <w:rsid w:val="00D66053"/>
    <w:rsid w:val="00D7071B"/>
    <w:rsid w:val="00D70CD5"/>
    <w:rsid w:val="00D71F3A"/>
    <w:rsid w:val="00D72135"/>
    <w:rsid w:val="00D74A38"/>
    <w:rsid w:val="00D75747"/>
    <w:rsid w:val="00D7659D"/>
    <w:rsid w:val="00D76BA6"/>
    <w:rsid w:val="00D81DAB"/>
    <w:rsid w:val="00D82587"/>
    <w:rsid w:val="00D85D07"/>
    <w:rsid w:val="00D87583"/>
    <w:rsid w:val="00D87828"/>
    <w:rsid w:val="00D8783D"/>
    <w:rsid w:val="00D87DF1"/>
    <w:rsid w:val="00D910C7"/>
    <w:rsid w:val="00D9222F"/>
    <w:rsid w:val="00D92CE7"/>
    <w:rsid w:val="00D932E2"/>
    <w:rsid w:val="00D934D6"/>
    <w:rsid w:val="00D94300"/>
    <w:rsid w:val="00DA0625"/>
    <w:rsid w:val="00DA12E7"/>
    <w:rsid w:val="00DA1AF4"/>
    <w:rsid w:val="00DA211D"/>
    <w:rsid w:val="00DA2BA6"/>
    <w:rsid w:val="00DA3570"/>
    <w:rsid w:val="00DA6D00"/>
    <w:rsid w:val="00DB4FC2"/>
    <w:rsid w:val="00DB5D58"/>
    <w:rsid w:val="00DB66BE"/>
    <w:rsid w:val="00DC01D1"/>
    <w:rsid w:val="00DC42FB"/>
    <w:rsid w:val="00DC62DE"/>
    <w:rsid w:val="00DD1A61"/>
    <w:rsid w:val="00DD598F"/>
    <w:rsid w:val="00DD68F4"/>
    <w:rsid w:val="00DE15E9"/>
    <w:rsid w:val="00DE173F"/>
    <w:rsid w:val="00DE401E"/>
    <w:rsid w:val="00DE49AD"/>
    <w:rsid w:val="00DE5327"/>
    <w:rsid w:val="00DE6EA5"/>
    <w:rsid w:val="00DF07F4"/>
    <w:rsid w:val="00DF1ABE"/>
    <w:rsid w:val="00DF2074"/>
    <w:rsid w:val="00DF30A9"/>
    <w:rsid w:val="00DF397B"/>
    <w:rsid w:val="00DF52EB"/>
    <w:rsid w:val="00DF5965"/>
    <w:rsid w:val="00DF6578"/>
    <w:rsid w:val="00E007F6"/>
    <w:rsid w:val="00E022B4"/>
    <w:rsid w:val="00E02625"/>
    <w:rsid w:val="00E039BC"/>
    <w:rsid w:val="00E04895"/>
    <w:rsid w:val="00E04898"/>
    <w:rsid w:val="00E063F5"/>
    <w:rsid w:val="00E1017C"/>
    <w:rsid w:val="00E105D8"/>
    <w:rsid w:val="00E14ECB"/>
    <w:rsid w:val="00E16CCA"/>
    <w:rsid w:val="00E170B3"/>
    <w:rsid w:val="00E21880"/>
    <w:rsid w:val="00E24AFB"/>
    <w:rsid w:val="00E26283"/>
    <w:rsid w:val="00E26679"/>
    <w:rsid w:val="00E30CBB"/>
    <w:rsid w:val="00E32AD3"/>
    <w:rsid w:val="00E3375D"/>
    <w:rsid w:val="00E35A65"/>
    <w:rsid w:val="00E36033"/>
    <w:rsid w:val="00E3644D"/>
    <w:rsid w:val="00E36AA2"/>
    <w:rsid w:val="00E36DA7"/>
    <w:rsid w:val="00E36FAC"/>
    <w:rsid w:val="00E41E2D"/>
    <w:rsid w:val="00E42B05"/>
    <w:rsid w:val="00E460E9"/>
    <w:rsid w:val="00E475C4"/>
    <w:rsid w:val="00E47D7F"/>
    <w:rsid w:val="00E5112B"/>
    <w:rsid w:val="00E56112"/>
    <w:rsid w:val="00E57687"/>
    <w:rsid w:val="00E6068C"/>
    <w:rsid w:val="00E6418F"/>
    <w:rsid w:val="00E66E8C"/>
    <w:rsid w:val="00E67484"/>
    <w:rsid w:val="00E70D08"/>
    <w:rsid w:val="00E71D66"/>
    <w:rsid w:val="00E72F1F"/>
    <w:rsid w:val="00E74172"/>
    <w:rsid w:val="00E748D1"/>
    <w:rsid w:val="00E81018"/>
    <w:rsid w:val="00E822E9"/>
    <w:rsid w:val="00E82465"/>
    <w:rsid w:val="00E840BF"/>
    <w:rsid w:val="00E86D85"/>
    <w:rsid w:val="00E87367"/>
    <w:rsid w:val="00E87BD6"/>
    <w:rsid w:val="00E91FB2"/>
    <w:rsid w:val="00E96BA1"/>
    <w:rsid w:val="00EA148C"/>
    <w:rsid w:val="00EA186A"/>
    <w:rsid w:val="00EA207B"/>
    <w:rsid w:val="00EA3555"/>
    <w:rsid w:val="00EA5A82"/>
    <w:rsid w:val="00EA632D"/>
    <w:rsid w:val="00EA6D7C"/>
    <w:rsid w:val="00EA6F97"/>
    <w:rsid w:val="00EA751E"/>
    <w:rsid w:val="00EA7CB5"/>
    <w:rsid w:val="00EA7F40"/>
    <w:rsid w:val="00EB006C"/>
    <w:rsid w:val="00EB0557"/>
    <w:rsid w:val="00EB23BD"/>
    <w:rsid w:val="00EC06D3"/>
    <w:rsid w:val="00EC1A27"/>
    <w:rsid w:val="00EC2A40"/>
    <w:rsid w:val="00EC2D90"/>
    <w:rsid w:val="00EC3D8C"/>
    <w:rsid w:val="00EC4681"/>
    <w:rsid w:val="00EC75DB"/>
    <w:rsid w:val="00ED18F8"/>
    <w:rsid w:val="00ED53DE"/>
    <w:rsid w:val="00ED72CA"/>
    <w:rsid w:val="00ED7B5E"/>
    <w:rsid w:val="00EE014A"/>
    <w:rsid w:val="00EE4026"/>
    <w:rsid w:val="00EF07C2"/>
    <w:rsid w:val="00EF2425"/>
    <w:rsid w:val="00EF257A"/>
    <w:rsid w:val="00EF2683"/>
    <w:rsid w:val="00EF627E"/>
    <w:rsid w:val="00EF7382"/>
    <w:rsid w:val="00F01197"/>
    <w:rsid w:val="00F01AC1"/>
    <w:rsid w:val="00F033F9"/>
    <w:rsid w:val="00F06EBE"/>
    <w:rsid w:val="00F07485"/>
    <w:rsid w:val="00F07C2E"/>
    <w:rsid w:val="00F10621"/>
    <w:rsid w:val="00F13985"/>
    <w:rsid w:val="00F1685F"/>
    <w:rsid w:val="00F20273"/>
    <w:rsid w:val="00F21F95"/>
    <w:rsid w:val="00F223CD"/>
    <w:rsid w:val="00F258CD"/>
    <w:rsid w:val="00F27AAD"/>
    <w:rsid w:val="00F30E88"/>
    <w:rsid w:val="00F3179E"/>
    <w:rsid w:val="00F321C8"/>
    <w:rsid w:val="00F34021"/>
    <w:rsid w:val="00F34A19"/>
    <w:rsid w:val="00F34CF7"/>
    <w:rsid w:val="00F350A7"/>
    <w:rsid w:val="00F40AA4"/>
    <w:rsid w:val="00F46399"/>
    <w:rsid w:val="00F47CF2"/>
    <w:rsid w:val="00F50B40"/>
    <w:rsid w:val="00F52D12"/>
    <w:rsid w:val="00F601E9"/>
    <w:rsid w:val="00F603B4"/>
    <w:rsid w:val="00F613A3"/>
    <w:rsid w:val="00F6167F"/>
    <w:rsid w:val="00F62735"/>
    <w:rsid w:val="00F63D14"/>
    <w:rsid w:val="00F651AA"/>
    <w:rsid w:val="00F65933"/>
    <w:rsid w:val="00F7238E"/>
    <w:rsid w:val="00F72C31"/>
    <w:rsid w:val="00F73647"/>
    <w:rsid w:val="00F75DB1"/>
    <w:rsid w:val="00F774F0"/>
    <w:rsid w:val="00F77EF7"/>
    <w:rsid w:val="00F8202E"/>
    <w:rsid w:val="00F82B9C"/>
    <w:rsid w:val="00F84A28"/>
    <w:rsid w:val="00F851E7"/>
    <w:rsid w:val="00F85524"/>
    <w:rsid w:val="00F87450"/>
    <w:rsid w:val="00F90D7E"/>
    <w:rsid w:val="00F932BA"/>
    <w:rsid w:val="00F93E53"/>
    <w:rsid w:val="00F94439"/>
    <w:rsid w:val="00F96682"/>
    <w:rsid w:val="00F96D27"/>
    <w:rsid w:val="00F9748B"/>
    <w:rsid w:val="00FA20DE"/>
    <w:rsid w:val="00FA4516"/>
    <w:rsid w:val="00FA5254"/>
    <w:rsid w:val="00FA663E"/>
    <w:rsid w:val="00FA68AA"/>
    <w:rsid w:val="00FB0C44"/>
    <w:rsid w:val="00FB67F4"/>
    <w:rsid w:val="00FB68B6"/>
    <w:rsid w:val="00FC178B"/>
    <w:rsid w:val="00FC5E35"/>
    <w:rsid w:val="00FD0B84"/>
    <w:rsid w:val="00FD12AA"/>
    <w:rsid w:val="00FD360D"/>
    <w:rsid w:val="00FD3E58"/>
    <w:rsid w:val="00FD447E"/>
    <w:rsid w:val="00FD4DC6"/>
    <w:rsid w:val="00FD6ADA"/>
    <w:rsid w:val="00FD7880"/>
    <w:rsid w:val="00FE50E9"/>
    <w:rsid w:val="00FF21B6"/>
    <w:rsid w:val="00FF4A8A"/>
    <w:rsid w:val="00FF5541"/>
    <w:rsid w:val="00FF74D5"/>
    <w:rsid w:val="09E06451"/>
    <w:rsid w:val="0F7E8D63"/>
    <w:rsid w:val="0FE26E2B"/>
    <w:rsid w:val="1642DA53"/>
    <w:rsid w:val="18BA6BA4"/>
    <w:rsid w:val="227C0C66"/>
    <w:rsid w:val="2A1F7C55"/>
    <w:rsid w:val="2BA982FD"/>
    <w:rsid w:val="2D7A0B95"/>
    <w:rsid w:val="31EB6258"/>
    <w:rsid w:val="38B16D1A"/>
    <w:rsid w:val="38B42610"/>
    <w:rsid w:val="40A61093"/>
    <w:rsid w:val="40B45FA3"/>
    <w:rsid w:val="42BB67E1"/>
    <w:rsid w:val="44E6AB2E"/>
    <w:rsid w:val="4F51017C"/>
    <w:rsid w:val="53BFFA5F"/>
    <w:rsid w:val="552D06D6"/>
    <w:rsid w:val="5636C167"/>
    <w:rsid w:val="6E041B20"/>
    <w:rsid w:val="6F193577"/>
    <w:rsid w:val="72E7A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60E4CAE1"/>
  <w15:docId w15:val="{E4B7C4B3-9C16-4A3A-AA07-89396FE9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autoRedefine/>
    <w:uiPriority w:val="9"/>
    <w:qFormat/>
    <w:rsid w:val="00712B34"/>
    <w:pPr>
      <w:ind w:left="0" w:firstLine="0"/>
      <w:outlineLvl w:val="0"/>
    </w:pPr>
    <w:rPr>
      <w:rFonts w:eastAsia="Times New Roman"/>
      <w:noProof/>
      <w:snapToGrid w:val="0"/>
      <w:lang w:eastAsia="en-GB"/>
    </w:r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B34"/>
    <w:rPr>
      <w:rFonts w:ascii="Times New Roman" w:eastAsia="Times New Roman" w:hAnsi="Times New Roman" w:cs="Times New Roman"/>
      <w:b/>
      <w:noProof/>
      <w:snapToGrid w:val="0"/>
      <w:sz w:val="24"/>
      <w:szCs w:val="24"/>
      <w:lang w:eastAsia="en-GB"/>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lt-LT"/>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lt-LT"/>
    </w:rPr>
  </w:style>
  <w:style w:type="character" w:customStyle="1" w:styleId="WW8Num43z1">
    <w:name w:val="WW8Num43z1"/>
    <w:rsid w:val="00F10621"/>
    <w:rPr>
      <w:rFonts w:ascii="Courier New" w:hAnsi="Courier New" w:cs="Courier New" w:hint="default"/>
      <w:sz w:val="24"/>
      <w:szCs w:val="24"/>
      <w:lang w:val="lt-LT"/>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lt-L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character" w:customStyle="1" w:styleId="TitleChar1">
    <w:name w:val="Title Char1"/>
    <w:basedOn w:val="DefaultParagraphFont"/>
    <w:link w:val="Title"/>
    <w:rsid w:val="00F10621"/>
    <w:rPr>
      <w:rFonts w:ascii="Times New Roman" w:eastAsia="Times New Roman" w:hAnsi="Times New Roman" w:cs="Times New Roman"/>
      <w:b/>
      <w:bCs/>
      <w:lang w:val="lt-LT"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1"/>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2"/>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character" w:styleId="PlaceholderText">
    <w:name w:val="Placeholder Text"/>
    <w:basedOn w:val="DefaultParagraphFont"/>
    <w:uiPriority w:val="99"/>
    <w:semiHidden/>
    <w:rsid w:val="00C57C0B"/>
    <w:rPr>
      <w:color w:val="808080"/>
    </w:rPr>
  </w:style>
  <w:style w:type="paragraph" w:styleId="NormalWeb">
    <w:name w:val="Normal (Web)"/>
    <w:basedOn w:val="Normal"/>
    <w:uiPriority w:val="99"/>
    <w:semiHidden/>
    <w:unhideWhenUsed/>
    <w:rsid w:val="00AF5791"/>
    <w:pPr>
      <w:suppressAutoHyphens w:val="0"/>
      <w:spacing w:after="0" w:line="240" w:lineRule="auto"/>
    </w:pPr>
    <w:rPr>
      <w:rFonts w:ascii="Times New Roman" w:eastAsiaTheme="minorHAnsi" w:hAnsi="Times New Roman"/>
      <w:sz w:val="24"/>
      <w:szCs w:val="24"/>
      <w:lang w:eastAsia="en-GB"/>
    </w:rPr>
  </w:style>
  <w:style w:type="character" w:customStyle="1" w:styleId="UnresolvedMention1">
    <w:name w:val="Unresolved Mention1"/>
    <w:basedOn w:val="DefaultParagraphFont"/>
    <w:uiPriority w:val="99"/>
    <w:semiHidden/>
    <w:unhideWhenUsed/>
    <w:rsid w:val="00CF7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230316793">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64257745">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611792165">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58868885">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79275399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49306579">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58426130">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36085039">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296520254">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569538052">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 w:id="21254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cb.europa.eu/stats/exchange/eurofxref/html/index.e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c.europa.eu/info/resources-partners/european-commission-visual-identity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opa.eu/youth/solidarity/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88f4f0f-5f93-42f2-ad3b-cf017ef05aea" xsi:nil="true"/>
    <EC_Collab_DocumentLanguage xmlns="288f4f0f-5f93-42f2-ad3b-cf017ef05aea">EN</EC_Collab_DocumentLanguage>
    <EC_Collab_Status xmlns="288f4f0f-5f93-42f2-ad3b-cf017ef05aea">Not Started</EC_Collab_Status>
    <About xmlns="288f4f0f-5f93-42f2-ad3b-cf017ef05aea" xsi:nil="true"/>
    <Sub_x0020_topic xmlns="d1e5b296-962f-4e95-98c4-7837af6a0a81">Enter Choice #1</Sub_x0020_topic>
    <Topic xmlns="d1e5b296-962f-4e95-98c4-7837af6a0a81">Grant Agreements</Topic>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46B7-A788-4EA0-BB07-8B8D81EFF06E}">
  <ds:schemaRefs>
    <ds:schemaRef ds:uri="http://purl.org/dc/terms/"/>
    <ds:schemaRef ds:uri="d1e5b296-962f-4e95-98c4-7837af6a0a81"/>
    <ds:schemaRef ds:uri="http://purl.org/dc/dcmitype/"/>
    <ds:schemaRef ds:uri="http://schemas.microsoft.com/office/infopath/2007/PartnerControls"/>
    <ds:schemaRef ds:uri="288f4f0f-5f93-42f2-ad3b-cf017ef05aea"/>
    <ds:schemaRef ds:uri="http://schemas.microsoft.com/office/2006/documentManagement/types"/>
    <ds:schemaRef ds:uri="http://schemas.microsoft.com/office/2006/metadata/properties"/>
    <ds:schemaRef ds:uri="c120f0ed-2bd9-41c1-92ef-0ec539ae5650"/>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A89D9E9-785D-461C-96EB-5C50885D3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4.xml><?xml version="1.0" encoding="utf-8"?>
<ds:datastoreItem xmlns:ds="http://schemas.openxmlformats.org/officeDocument/2006/customXml" ds:itemID="{47C22399-2BAB-4C95-A065-CFE75197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6569</Words>
  <Characters>34949</Characters>
  <Application>Microsoft Office Word</Application>
  <DocSecurity>0</DocSecurity>
  <Lines>812</Lines>
  <Paragraphs>403</Paragraphs>
  <ScaleCrop>false</ScaleCrop>
  <HeadingPairs>
    <vt:vector size="2" baseType="variant">
      <vt:variant>
        <vt:lpstr>Title</vt:lpstr>
      </vt:variant>
      <vt:variant>
        <vt:i4>1</vt:i4>
      </vt:variant>
    </vt:vector>
  </HeadingPairs>
  <TitlesOfParts>
    <vt:vector size="1" baseType="lpstr">
      <vt:lpstr>version 2</vt:lpstr>
    </vt:vector>
  </TitlesOfParts>
  <Company>European Commission</Company>
  <LinksUpToDate>false</LinksUpToDate>
  <CharactersWithSpaces>41115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2016 Mono-ben Special Conditions_</dc:subject>
  <dc:creator>Oana Licu</dc:creator>
  <cp:keywords/>
  <dc:description/>
  <cp:lastModifiedBy>BURNEIKA Edgaras (DGT)</cp:lastModifiedBy>
  <cp:revision>10</cp:revision>
  <cp:lastPrinted>2019-12-10T09:09:00Z</cp:lastPrinted>
  <dcterms:created xsi:type="dcterms:W3CDTF">2022-05-24T08:05:00Z</dcterms:created>
  <dcterms:modified xsi:type="dcterms:W3CDTF">2022-07-04T07:51:00Z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0x010100258AA79CEB83498886A3A0868112325000AACF5B877EE69249B6AE86A769072C47</vt:lpwstr>
  </property>
  <property fmtid="{D5CDD505-2E9C-101B-9397-08002B2CF9AE}" pid="3" name="_DocHome">
    <vt:i4>388988097</vt:i4>
  </property>
  <property fmtid="{D5CDD505-2E9C-101B-9397-08002B2CF9AE}" pid="4" name="MSIP_Label_6bd9ddd1-4d20-43f6-abfa-fc3c07406f94_Enabled">
    <vt:lpwstr>true</vt:lpwstr>
  </property>
  <property fmtid="{D5CDD505-2E9C-101B-9397-08002B2CF9AE}" pid="5" name="MSIP_Label_6bd9ddd1-4d20-43f6-abfa-fc3c07406f94_SetDate">
    <vt:lpwstr>2022-03-31T09:08:23Z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34299f96-ff6a-4284-877d-f8db37465ad5</vt:lpwstr>
  </property>
  <property fmtid="{D5CDD505-2E9C-101B-9397-08002B2CF9AE}" pid="10" name="MSIP_Label_6bd9ddd1-4d20-43f6-abfa-fc3c07406f94_ContentBits">
    <vt:lpwstr>0</vt:lpwstr>
  </property>
</Properties>
</file>